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23C5" w14:textId="77777777" w:rsidR="008464CB" w:rsidRPr="00BE6106" w:rsidRDefault="008464CB" w:rsidP="00BE6106">
      <w:pPr>
        <w:spacing w:after="0"/>
        <w:outlineLvl w:val="0"/>
        <w:rPr>
          <w:b/>
          <w:sz w:val="24"/>
        </w:rPr>
      </w:pPr>
    </w:p>
    <w:tbl>
      <w:tblPr>
        <w:tblpPr w:leftFromText="180" w:rightFromText="180" w:vertAnchor="text" w:tblpX="-39" w:tblpY="41"/>
        <w:tblW w:w="10530" w:type="dxa"/>
        <w:tblBorders>
          <w:top w:val="single" w:sz="4" w:space="0" w:color="auto"/>
          <w:right w:val="single" w:sz="4" w:space="0" w:color="auto"/>
        </w:tblBorders>
        <w:tblLook w:val="0000" w:firstRow="0" w:lastRow="0" w:firstColumn="0" w:lastColumn="0" w:noHBand="0" w:noVBand="0"/>
      </w:tblPr>
      <w:tblGrid>
        <w:gridCol w:w="1710"/>
        <w:gridCol w:w="8820"/>
      </w:tblGrid>
      <w:tr w:rsidR="00701186" w14:paraId="6AF987E2" w14:textId="77777777" w:rsidTr="00701186">
        <w:trPr>
          <w:trHeight w:val="4159"/>
        </w:trPr>
        <w:tc>
          <w:tcPr>
            <w:tcW w:w="1710" w:type="dxa"/>
            <w:tcBorders>
              <w:top w:val="single" w:sz="4" w:space="0" w:color="442C79"/>
              <w:bottom w:val="nil"/>
              <w:right w:val="single" w:sz="4" w:space="0" w:color="442C79"/>
            </w:tcBorders>
          </w:tcPr>
          <w:p w14:paraId="1DA1ECD3" w14:textId="77777777" w:rsidR="008464CB" w:rsidRDefault="008464CB" w:rsidP="00701186">
            <w:pPr>
              <w:pStyle w:val="Subhead"/>
              <w:ind w:left="39"/>
            </w:pPr>
            <w:r w:rsidRPr="00CE49E5">
              <w:t>Background</w:t>
            </w:r>
          </w:p>
        </w:tc>
        <w:tc>
          <w:tcPr>
            <w:tcW w:w="8820" w:type="dxa"/>
            <w:tcBorders>
              <w:top w:val="nil"/>
              <w:left w:val="single" w:sz="4" w:space="0" w:color="442C79"/>
              <w:bottom w:val="nil"/>
              <w:right w:val="nil"/>
            </w:tcBorders>
          </w:tcPr>
          <w:p w14:paraId="68070D3A" w14:textId="2DC41BC0" w:rsidR="008464CB" w:rsidRPr="008464CB" w:rsidRDefault="008464CB" w:rsidP="00701186">
            <w:pPr>
              <w:pStyle w:val="Default"/>
              <w:contextualSpacing/>
              <w:rPr>
                <w:rFonts w:asciiTheme="minorHAnsi" w:hAnsiTheme="minorHAnsi"/>
                <w:color w:val="000000" w:themeColor="text1"/>
                <w:sz w:val="22"/>
                <w:szCs w:val="21"/>
              </w:rPr>
            </w:pPr>
            <w:r w:rsidRPr="0066347A">
              <w:rPr>
                <w:rFonts w:asciiTheme="minorHAnsi" w:hAnsiTheme="minorHAnsi"/>
                <w:sz w:val="22"/>
                <w:szCs w:val="21"/>
              </w:rPr>
              <w:t xml:space="preserve">Noncommunicable diseases (NCDs), including </w:t>
            </w:r>
            <w:r w:rsidR="00CF3527">
              <w:rPr>
                <w:rFonts w:asciiTheme="minorHAnsi" w:hAnsiTheme="minorHAnsi"/>
                <w:sz w:val="22"/>
                <w:szCs w:val="21"/>
              </w:rPr>
              <w:t>cardiovascular diseases</w:t>
            </w:r>
            <w:r>
              <w:rPr>
                <w:rFonts w:asciiTheme="minorHAnsi" w:hAnsiTheme="minorHAnsi"/>
                <w:sz w:val="22"/>
                <w:szCs w:val="21"/>
              </w:rPr>
              <w:t>, cancer</w:t>
            </w:r>
            <w:r w:rsidR="00CF3527">
              <w:rPr>
                <w:rFonts w:asciiTheme="minorHAnsi" w:hAnsiTheme="minorHAnsi"/>
                <w:sz w:val="22"/>
                <w:szCs w:val="21"/>
              </w:rPr>
              <w:t>s, diabetes and chronic lung diseases,</w:t>
            </w:r>
            <w:r w:rsidRPr="0066347A">
              <w:rPr>
                <w:rFonts w:asciiTheme="minorHAnsi" w:hAnsiTheme="minorHAnsi"/>
                <w:sz w:val="22"/>
                <w:szCs w:val="21"/>
              </w:rPr>
              <w:t xml:space="preserve"> </w:t>
            </w:r>
            <w:r w:rsidR="001016DF">
              <w:rPr>
                <w:rFonts w:asciiTheme="minorHAnsi" w:hAnsiTheme="minorHAnsi"/>
                <w:sz w:val="22"/>
                <w:szCs w:val="21"/>
              </w:rPr>
              <w:t xml:space="preserve">cause </w:t>
            </w:r>
            <w:r w:rsidR="00CF3527">
              <w:rPr>
                <w:rFonts w:asciiTheme="minorHAnsi" w:hAnsiTheme="minorHAnsi"/>
                <w:sz w:val="22"/>
                <w:szCs w:val="21"/>
              </w:rPr>
              <w:t>70</w:t>
            </w:r>
            <w:r w:rsidRPr="0066347A">
              <w:rPr>
                <w:rFonts w:asciiTheme="minorHAnsi" w:hAnsiTheme="minorHAnsi"/>
                <w:sz w:val="22"/>
                <w:szCs w:val="21"/>
              </w:rPr>
              <w:t>% of all deaths worldwide</w:t>
            </w:r>
            <w:r w:rsidRPr="007348A8">
              <w:rPr>
                <w:rFonts w:asciiTheme="minorHAnsi" w:hAnsiTheme="minorHAnsi"/>
                <w:sz w:val="22"/>
                <w:szCs w:val="21"/>
                <w:vertAlign w:val="superscript"/>
              </w:rPr>
              <w:t>1</w:t>
            </w:r>
            <w:r w:rsidRPr="0066347A">
              <w:rPr>
                <w:rFonts w:asciiTheme="minorHAnsi" w:hAnsiTheme="minorHAnsi"/>
                <w:sz w:val="22"/>
                <w:szCs w:val="21"/>
              </w:rPr>
              <w:t>. T</w:t>
            </w:r>
            <w:r>
              <w:rPr>
                <w:rFonts w:asciiTheme="minorHAnsi" w:hAnsiTheme="minorHAnsi"/>
                <w:sz w:val="22"/>
                <w:szCs w:val="21"/>
              </w:rPr>
              <w:t>he magnitude of these diseases</w:t>
            </w:r>
            <w:r w:rsidRPr="0066347A">
              <w:rPr>
                <w:rFonts w:asciiTheme="minorHAnsi" w:hAnsiTheme="minorHAnsi"/>
                <w:sz w:val="22"/>
                <w:szCs w:val="21"/>
              </w:rPr>
              <w:t xml:space="preserve"> </w:t>
            </w:r>
            <w:r w:rsidR="001016DF">
              <w:rPr>
                <w:rFonts w:asciiTheme="minorHAnsi" w:hAnsiTheme="minorHAnsi"/>
                <w:sz w:val="22"/>
                <w:szCs w:val="21"/>
              </w:rPr>
              <w:t>is rising</w:t>
            </w:r>
            <w:r w:rsidRPr="0066347A">
              <w:rPr>
                <w:rFonts w:asciiTheme="minorHAnsi" w:hAnsiTheme="minorHAnsi"/>
                <w:sz w:val="22"/>
                <w:szCs w:val="21"/>
              </w:rPr>
              <w:t xml:space="preserve">, particularly in low- and middle income countries (LMICs). NCDs result in tremendous health care costs and lost productivity, and collectively </w:t>
            </w:r>
            <w:r>
              <w:rPr>
                <w:rFonts w:asciiTheme="minorHAnsi" w:hAnsiTheme="minorHAnsi"/>
                <w:sz w:val="22"/>
                <w:szCs w:val="21"/>
              </w:rPr>
              <w:t>undermine</w:t>
            </w:r>
            <w:r w:rsidRPr="0066347A">
              <w:rPr>
                <w:rFonts w:asciiTheme="minorHAnsi" w:hAnsiTheme="minorHAnsi"/>
                <w:sz w:val="22"/>
                <w:szCs w:val="21"/>
              </w:rPr>
              <w:t xml:space="preserve"> the </w:t>
            </w:r>
            <w:r w:rsidR="00773190">
              <w:rPr>
                <w:rFonts w:asciiTheme="minorHAnsi" w:hAnsiTheme="minorHAnsi"/>
                <w:sz w:val="22"/>
                <w:szCs w:val="21"/>
              </w:rPr>
              <w:t>S</w:t>
            </w:r>
            <w:r w:rsidRPr="0066347A">
              <w:rPr>
                <w:rFonts w:asciiTheme="minorHAnsi" w:hAnsiTheme="minorHAnsi"/>
                <w:sz w:val="22"/>
                <w:szCs w:val="21"/>
              </w:rPr>
              <w:t xml:space="preserve">ustainable </w:t>
            </w:r>
            <w:r w:rsidR="00773190">
              <w:rPr>
                <w:rFonts w:asciiTheme="minorHAnsi" w:hAnsiTheme="minorHAnsi"/>
                <w:sz w:val="22"/>
                <w:szCs w:val="21"/>
              </w:rPr>
              <w:t>D</w:t>
            </w:r>
            <w:r w:rsidRPr="0066347A">
              <w:rPr>
                <w:rFonts w:asciiTheme="minorHAnsi" w:hAnsiTheme="minorHAnsi"/>
                <w:sz w:val="22"/>
                <w:szCs w:val="21"/>
              </w:rPr>
              <w:t>evelopme</w:t>
            </w:r>
            <w:r>
              <w:rPr>
                <w:rFonts w:asciiTheme="minorHAnsi" w:hAnsiTheme="minorHAnsi"/>
                <w:sz w:val="22"/>
                <w:szCs w:val="21"/>
              </w:rPr>
              <w:t xml:space="preserve">nt </w:t>
            </w:r>
            <w:r w:rsidR="00773190">
              <w:rPr>
                <w:rFonts w:asciiTheme="minorHAnsi" w:hAnsiTheme="minorHAnsi"/>
                <w:sz w:val="22"/>
                <w:szCs w:val="21"/>
              </w:rPr>
              <w:t>G</w:t>
            </w:r>
            <w:r>
              <w:rPr>
                <w:rFonts w:asciiTheme="minorHAnsi" w:hAnsiTheme="minorHAnsi"/>
                <w:sz w:val="22"/>
                <w:szCs w:val="21"/>
              </w:rPr>
              <w:t>oals. If</w:t>
            </w:r>
            <w:r w:rsidR="001436CE">
              <w:rPr>
                <w:rFonts w:asciiTheme="minorHAnsi" w:hAnsiTheme="minorHAnsi"/>
                <w:sz w:val="22"/>
                <w:szCs w:val="21"/>
              </w:rPr>
              <w:t xml:space="preserve"> NCDs are not addressed</w:t>
            </w:r>
            <w:r w:rsidRPr="0066347A">
              <w:rPr>
                <w:rFonts w:asciiTheme="minorHAnsi" w:hAnsiTheme="minorHAnsi"/>
                <w:sz w:val="22"/>
                <w:szCs w:val="21"/>
              </w:rPr>
              <w:t>, an estimated USD$7 trillion could</w:t>
            </w:r>
            <w:r>
              <w:rPr>
                <w:rFonts w:asciiTheme="minorHAnsi" w:hAnsiTheme="minorHAnsi"/>
                <w:sz w:val="22"/>
                <w:szCs w:val="21"/>
              </w:rPr>
              <w:t xml:space="preserve"> be lost in LMICs </w:t>
            </w:r>
            <w:r w:rsidR="00B83B49">
              <w:rPr>
                <w:rFonts w:asciiTheme="minorHAnsi" w:hAnsiTheme="minorHAnsi"/>
                <w:sz w:val="22"/>
                <w:szCs w:val="21"/>
              </w:rPr>
              <w:t>from</w:t>
            </w:r>
            <w:r w:rsidR="005871A0">
              <w:rPr>
                <w:rFonts w:asciiTheme="minorHAnsi" w:hAnsiTheme="minorHAnsi"/>
                <w:sz w:val="22"/>
                <w:szCs w:val="21"/>
              </w:rPr>
              <w:t xml:space="preserve"> </w:t>
            </w:r>
            <w:r>
              <w:rPr>
                <w:rFonts w:asciiTheme="minorHAnsi" w:hAnsiTheme="minorHAnsi"/>
                <w:sz w:val="22"/>
                <w:szCs w:val="21"/>
              </w:rPr>
              <w:t>2011-2025</w:t>
            </w:r>
            <w:r w:rsidRPr="007D1BFE">
              <w:rPr>
                <w:rFonts w:asciiTheme="minorHAnsi" w:hAnsiTheme="minorHAnsi"/>
                <w:sz w:val="22"/>
                <w:szCs w:val="21"/>
                <w:vertAlign w:val="superscript"/>
              </w:rPr>
              <w:t>2</w:t>
            </w:r>
            <w:r w:rsidRPr="0066347A">
              <w:rPr>
                <w:rFonts w:asciiTheme="minorHAnsi" w:hAnsiTheme="minorHAnsi"/>
                <w:sz w:val="22"/>
                <w:szCs w:val="21"/>
              </w:rPr>
              <w:t xml:space="preserve">. Efficient monitoring and surveillance are cornerstones to track progress. </w:t>
            </w:r>
            <w:r>
              <w:rPr>
                <w:rFonts w:asciiTheme="minorHAnsi" w:hAnsiTheme="minorHAnsi"/>
                <w:sz w:val="22"/>
                <w:szCs w:val="21"/>
              </w:rPr>
              <w:t>The s</w:t>
            </w:r>
            <w:r w:rsidRPr="0066347A">
              <w:rPr>
                <w:rFonts w:asciiTheme="minorHAnsi" w:hAnsiTheme="minorHAnsi"/>
                <w:sz w:val="22"/>
                <w:szCs w:val="21"/>
              </w:rPr>
              <w:t xml:space="preserve">ystematic monitoring of risk factors </w:t>
            </w:r>
            <w:r>
              <w:rPr>
                <w:rFonts w:asciiTheme="minorHAnsi" w:hAnsiTheme="minorHAnsi"/>
                <w:sz w:val="22"/>
                <w:szCs w:val="21"/>
              </w:rPr>
              <w:t xml:space="preserve">to generate accurate and timely data is essential for a country’s ability to </w:t>
            </w:r>
            <w:r w:rsidRPr="0066347A">
              <w:rPr>
                <w:rFonts w:asciiTheme="minorHAnsi" w:hAnsiTheme="minorHAnsi"/>
                <w:sz w:val="22"/>
                <w:szCs w:val="21"/>
              </w:rPr>
              <w:t xml:space="preserve">prioritize </w:t>
            </w:r>
            <w:r w:rsidR="00B83B49">
              <w:rPr>
                <w:rFonts w:asciiTheme="minorHAnsi" w:hAnsiTheme="minorHAnsi"/>
                <w:sz w:val="22"/>
                <w:szCs w:val="21"/>
              </w:rPr>
              <w:t xml:space="preserve">limited </w:t>
            </w:r>
            <w:r w:rsidRPr="0066347A">
              <w:rPr>
                <w:rFonts w:asciiTheme="minorHAnsi" w:hAnsiTheme="minorHAnsi"/>
                <w:sz w:val="22"/>
                <w:szCs w:val="21"/>
              </w:rPr>
              <w:t>resources and make sou</w:t>
            </w:r>
            <w:r w:rsidRPr="008464CB">
              <w:rPr>
                <w:rFonts w:asciiTheme="minorHAnsi" w:hAnsiTheme="minorHAnsi"/>
                <w:color w:val="000000" w:themeColor="text1"/>
                <w:sz w:val="22"/>
                <w:szCs w:val="21"/>
              </w:rPr>
              <w:t xml:space="preserve">nd policy decisions to address the growing NCD burden. </w:t>
            </w:r>
          </w:p>
          <w:p w14:paraId="71935B36" w14:textId="77777777" w:rsidR="008464CB" w:rsidRPr="008464CB" w:rsidRDefault="008464CB" w:rsidP="00701186">
            <w:pPr>
              <w:pStyle w:val="Default"/>
              <w:contextualSpacing/>
              <w:rPr>
                <w:rFonts w:asciiTheme="minorHAnsi" w:hAnsiTheme="minorHAnsi" w:cstheme="minorBidi"/>
                <w:color w:val="000000" w:themeColor="text1"/>
                <w:sz w:val="22"/>
                <w:szCs w:val="21"/>
              </w:rPr>
            </w:pPr>
          </w:p>
          <w:p w14:paraId="3D1F0B19" w14:textId="060D4778" w:rsidR="008464CB" w:rsidRPr="00CE49E5" w:rsidRDefault="00B83B49" w:rsidP="00080AF6">
            <w:pPr>
              <w:pStyle w:val="Subhead"/>
              <w:ind w:left="39"/>
            </w:pPr>
            <w:r w:rsidRPr="00B83B49">
              <w:rPr>
                <w:b w:val="0"/>
                <w:color w:val="000000" w:themeColor="text1"/>
                <w:sz w:val="22"/>
                <w:szCs w:val="21"/>
              </w:rPr>
              <w:t xml:space="preserve">At the same time, the world is more connected than ever before by mobile phones and technology. </w:t>
            </w:r>
            <w:r w:rsidR="00F94DB9">
              <w:rPr>
                <w:b w:val="0"/>
                <w:color w:val="000000" w:themeColor="text1"/>
                <w:sz w:val="22"/>
                <w:szCs w:val="21"/>
              </w:rPr>
              <w:t>There is</w:t>
            </w:r>
            <w:r w:rsidRPr="00B83B49">
              <w:rPr>
                <w:b w:val="0"/>
                <w:color w:val="000000" w:themeColor="text1"/>
                <w:sz w:val="22"/>
                <w:szCs w:val="21"/>
              </w:rPr>
              <w:t xml:space="preserve"> an opportunity to harness the potential of mobile phone technology to collect NCD data, which can be used to monitor trends and augment traditional household surveys. The NCD Mobile Phone Survey combines technology and scientific methodology to get nationally representative NCD risk factor data for the first time.</w:t>
            </w:r>
            <w:r>
              <w:rPr>
                <w:b w:val="0"/>
                <w:color w:val="000000" w:themeColor="text1"/>
                <w:sz w:val="22"/>
                <w:szCs w:val="21"/>
              </w:rPr>
              <w:t xml:space="preserve"> </w:t>
            </w:r>
          </w:p>
        </w:tc>
      </w:tr>
    </w:tbl>
    <w:p w14:paraId="01DEE616" w14:textId="77777777" w:rsidR="00CE49E5" w:rsidRPr="00701186" w:rsidRDefault="00CE49E5" w:rsidP="008464CB">
      <w:pPr>
        <w:pStyle w:val="ListParagraph"/>
        <w:spacing w:before="120" w:after="0" w:line="240" w:lineRule="auto"/>
        <w:ind w:left="0"/>
        <w:rPr>
          <w:b/>
          <w:color w:val="442C79"/>
          <w:sz w:val="10"/>
          <w:szCs w:val="10"/>
        </w:rPr>
      </w:pPr>
    </w:p>
    <w:tbl>
      <w:tblPr>
        <w:tblpPr w:leftFromText="180" w:rightFromText="180" w:vertAnchor="text" w:tblpX="-39" w:tblpY="41"/>
        <w:tblW w:w="10530" w:type="dxa"/>
        <w:tblBorders>
          <w:top w:val="single" w:sz="4" w:space="0" w:color="auto"/>
          <w:right w:val="single" w:sz="4" w:space="0" w:color="auto"/>
        </w:tblBorders>
        <w:tblLook w:val="0000" w:firstRow="0" w:lastRow="0" w:firstColumn="0" w:lastColumn="0" w:noHBand="0" w:noVBand="0"/>
      </w:tblPr>
      <w:tblGrid>
        <w:gridCol w:w="1710"/>
        <w:gridCol w:w="8820"/>
      </w:tblGrid>
      <w:tr w:rsidR="008464CB" w14:paraId="1DB7F858" w14:textId="77777777" w:rsidTr="00701186">
        <w:trPr>
          <w:trHeight w:val="1484"/>
        </w:trPr>
        <w:tc>
          <w:tcPr>
            <w:tcW w:w="1710" w:type="dxa"/>
            <w:tcBorders>
              <w:top w:val="single" w:sz="4" w:space="0" w:color="442C79"/>
              <w:bottom w:val="nil"/>
              <w:right w:val="single" w:sz="4" w:space="0" w:color="442C79"/>
            </w:tcBorders>
          </w:tcPr>
          <w:p w14:paraId="5F2D8C91" w14:textId="77777777" w:rsidR="008464CB" w:rsidRPr="00CE49E5" w:rsidRDefault="008464CB" w:rsidP="00814E7A">
            <w:pPr>
              <w:pStyle w:val="Subhead"/>
              <w:ind w:left="39"/>
            </w:pPr>
            <w:r>
              <w:t>Objectives</w:t>
            </w:r>
          </w:p>
        </w:tc>
        <w:tc>
          <w:tcPr>
            <w:tcW w:w="8820" w:type="dxa"/>
            <w:tcBorders>
              <w:top w:val="nil"/>
              <w:left w:val="single" w:sz="4" w:space="0" w:color="442C79"/>
              <w:right w:val="nil"/>
            </w:tcBorders>
          </w:tcPr>
          <w:p w14:paraId="717687D1" w14:textId="77777777" w:rsidR="008464CB" w:rsidRPr="0066347A" w:rsidRDefault="008464CB" w:rsidP="002F3B6A">
            <w:pPr>
              <w:pStyle w:val="ListParagraph"/>
              <w:numPr>
                <w:ilvl w:val="0"/>
                <w:numId w:val="10"/>
              </w:numPr>
              <w:ind w:left="252" w:hanging="252"/>
              <w:rPr>
                <w:szCs w:val="20"/>
              </w:rPr>
            </w:pPr>
            <w:r w:rsidRPr="0066347A">
              <w:rPr>
                <w:szCs w:val="20"/>
              </w:rPr>
              <w:t xml:space="preserve">Assess </w:t>
            </w:r>
            <w:r>
              <w:rPr>
                <w:szCs w:val="20"/>
              </w:rPr>
              <w:t xml:space="preserve">the </w:t>
            </w:r>
            <w:r w:rsidRPr="0066347A">
              <w:rPr>
                <w:szCs w:val="20"/>
              </w:rPr>
              <w:t>feasibility</w:t>
            </w:r>
            <w:r>
              <w:rPr>
                <w:szCs w:val="20"/>
              </w:rPr>
              <w:t>, quality, and validity of nationally representative</w:t>
            </w:r>
            <w:r w:rsidRPr="0066347A">
              <w:rPr>
                <w:szCs w:val="20"/>
              </w:rPr>
              <w:t xml:space="preserve"> mobile phone surveys</w:t>
            </w:r>
          </w:p>
          <w:p w14:paraId="6B455868" w14:textId="77777777" w:rsidR="008464CB" w:rsidRPr="00BB49E2" w:rsidRDefault="008464CB" w:rsidP="008358B1">
            <w:pPr>
              <w:pStyle w:val="ListParagraph"/>
              <w:numPr>
                <w:ilvl w:val="1"/>
                <w:numId w:val="16"/>
              </w:numPr>
              <w:spacing w:after="120" w:line="240" w:lineRule="auto"/>
              <w:ind w:left="612" w:hanging="270"/>
              <w:rPr>
                <w:szCs w:val="20"/>
              </w:rPr>
            </w:pPr>
            <w:r w:rsidRPr="00BB49E2">
              <w:rPr>
                <w:szCs w:val="20"/>
              </w:rPr>
              <w:t>Implement mobile phone surveys in ten countries and support face-to-face WHO STEPS survey</w:t>
            </w:r>
            <w:r>
              <w:rPr>
                <w:szCs w:val="20"/>
              </w:rPr>
              <w:t>s</w:t>
            </w:r>
            <w:r w:rsidRPr="00BB49E2">
              <w:rPr>
                <w:szCs w:val="20"/>
              </w:rPr>
              <w:t xml:space="preserve"> in six overlapping countries</w:t>
            </w:r>
          </w:p>
          <w:p w14:paraId="5E5D74CE" w14:textId="77777777" w:rsidR="008464CB" w:rsidRPr="00BB49E2" w:rsidRDefault="008464CB" w:rsidP="008358B1">
            <w:pPr>
              <w:pStyle w:val="ListParagraph"/>
              <w:numPr>
                <w:ilvl w:val="1"/>
                <w:numId w:val="16"/>
              </w:numPr>
              <w:spacing w:after="120" w:line="240" w:lineRule="auto"/>
              <w:ind w:left="612" w:hanging="270"/>
              <w:rPr>
                <w:szCs w:val="20"/>
              </w:rPr>
            </w:pPr>
            <w:r w:rsidRPr="00BB49E2">
              <w:rPr>
                <w:szCs w:val="20"/>
              </w:rPr>
              <w:t>Compare findings from the two methodologies</w:t>
            </w:r>
          </w:p>
          <w:p w14:paraId="4256F9BF" w14:textId="77777777" w:rsidR="008464CB" w:rsidRPr="00701186" w:rsidRDefault="008464CB" w:rsidP="002F3B6A">
            <w:pPr>
              <w:pStyle w:val="ListParagraph"/>
              <w:numPr>
                <w:ilvl w:val="0"/>
                <w:numId w:val="10"/>
              </w:numPr>
              <w:ind w:left="252" w:hanging="252"/>
              <w:rPr>
                <w:szCs w:val="20"/>
              </w:rPr>
            </w:pPr>
            <w:r w:rsidRPr="0066347A">
              <w:rPr>
                <w:szCs w:val="20"/>
              </w:rPr>
              <w:t xml:space="preserve">Propose a globally standardized protocol </w:t>
            </w:r>
          </w:p>
        </w:tc>
      </w:tr>
    </w:tbl>
    <w:p w14:paraId="35BF0749" w14:textId="77777777" w:rsidR="008464CB" w:rsidRPr="00701186" w:rsidRDefault="008464CB" w:rsidP="008464CB">
      <w:pPr>
        <w:pStyle w:val="ListParagraph"/>
        <w:spacing w:before="120" w:after="0" w:line="240" w:lineRule="auto"/>
        <w:ind w:left="0"/>
        <w:rPr>
          <w:b/>
          <w:color w:val="442C79"/>
          <w:sz w:val="10"/>
          <w:szCs w:val="10"/>
        </w:rPr>
      </w:pPr>
    </w:p>
    <w:tbl>
      <w:tblPr>
        <w:tblpPr w:leftFromText="180" w:rightFromText="180" w:vertAnchor="text" w:tblpX="-39" w:tblpY="41"/>
        <w:tblW w:w="10530" w:type="dxa"/>
        <w:tblBorders>
          <w:top w:val="single" w:sz="4" w:space="0" w:color="auto"/>
          <w:right w:val="single" w:sz="4" w:space="0" w:color="auto"/>
        </w:tblBorders>
        <w:tblLook w:val="0000" w:firstRow="0" w:lastRow="0" w:firstColumn="0" w:lastColumn="0" w:noHBand="0" w:noVBand="0"/>
      </w:tblPr>
      <w:tblGrid>
        <w:gridCol w:w="1710"/>
        <w:gridCol w:w="8820"/>
      </w:tblGrid>
      <w:tr w:rsidR="008464CB" w14:paraId="7C340183" w14:textId="77777777" w:rsidTr="00701186">
        <w:trPr>
          <w:trHeight w:val="2142"/>
        </w:trPr>
        <w:tc>
          <w:tcPr>
            <w:tcW w:w="1710" w:type="dxa"/>
            <w:tcBorders>
              <w:top w:val="single" w:sz="4" w:space="0" w:color="442C79"/>
              <w:bottom w:val="nil"/>
              <w:right w:val="single" w:sz="4" w:space="0" w:color="442C79"/>
            </w:tcBorders>
          </w:tcPr>
          <w:p w14:paraId="7C8741A6" w14:textId="77777777" w:rsidR="008464CB" w:rsidRPr="00CE49E5" w:rsidRDefault="008464CB" w:rsidP="00814E7A">
            <w:pPr>
              <w:pStyle w:val="Subhead"/>
              <w:ind w:left="39"/>
            </w:pPr>
            <w:r>
              <w:t>Features</w:t>
            </w:r>
          </w:p>
        </w:tc>
        <w:tc>
          <w:tcPr>
            <w:tcW w:w="8820" w:type="dxa"/>
            <w:tcBorders>
              <w:top w:val="nil"/>
              <w:left w:val="single" w:sz="4" w:space="0" w:color="442C79"/>
              <w:right w:val="nil"/>
            </w:tcBorders>
          </w:tcPr>
          <w:p w14:paraId="6BEE7E1B" w14:textId="77777777" w:rsidR="00701186" w:rsidRPr="0066347A" w:rsidRDefault="00701186" w:rsidP="002F3B6A">
            <w:pPr>
              <w:pStyle w:val="ListParagraph"/>
              <w:numPr>
                <w:ilvl w:val="0"/>
                <w:numId w:val="10"/>
              </w:numPr>
              <w:ind w:left="252" w:hanging="252"/>
              <w:rPr>
                <w:szCs w:val="20"/>
              </w:rPr>
            </w:pPr>
            <w:r w:rsidRPr="0066347A">
              <w:rPr>
                <w:szCs w:val="20"/>
              </w:rPr>
              <w:t>Country-driven and adaptable to local context</w:t>
            </w:r>
          </w:p>
          <w:p w14:paraId="3768B4F1" w14:textId="77777777" w:rsidR="00701186" w:rsidRPr="00913F88" w:rsidRDefault="00701186" w:rsidP="002F3B6A">
            <w:pPr>
              <w:pStyle w:val="ListParagraph"/>
              <w:numPr>
                <w:ilvl w:val="0"/>
                <w:numId w:val="10"/>
              </w:numPr>
              <w:ind w:left="252" w:hanging="252"/>
              <w:rPr>
                <w:szCs w:val="20"/>
              </w:rPr>
            </w:pPr>
            <w:r w:rsidRPr="00913F88">
              <w:rPr>
                <w:szCs w:val="20"/>
              </w:rPr>
              <w:t>Rigorous and standardized methodology</w:t>
            </w:r>
          </w:p>
          <w:p w14:paraId="46F24104" w14:textId="77777777" w:rsidR="00701186" w:rsidRPr="00913F88" w:rsidRDefault="00701186" w:rsidP="002F3B6A">
            <w:pPr>
              <w:pStyle w:val="ListParagraph"/>
              <w:numPr>
                <w:ilvl w:val="0"/>
                <w:numId w:val="10"/>
              </w:numPr>
              <w:ind w:left="252" w:hanging="252"/>
              <w:rPr>
                <w:szCs w:val="20"/>
              </w:rPr>
            </w:pPr>
            <w:r w:rsidRPr="00913F88">
              <w:rPr>
                <w:szCs w:val="20"/>
              </w:rPr>
              <w:t>Innovative multi-modal survey technology platform</w:t>
            </w:r>
          </w:p>
          <w:p w14:paraId="56B50A86" w14:textId="77777777" w:rsidR="00701186" w:rsidRPr="0066347A" w:rsidRDefault="00701186" w:rsidP="002F3B6A">
            <w:pPr>
              <w:pStyle w:val="ListParagraph"/>
              <w:numPr>
                <w:ilvl w:val="0"/>
                <w:numId w:val="10"/>
              </w:numPr>
              <w:ind w:left="252" w:hanging="252"/>
              <w:rPr>
                <w:szCs w:val="20"/>
              </w:rPr>
            </w:pPr>
            <w:r w:rsidRPr="00913F88">
              <w:rPr>
                <w:szCs w:val="20"/>
              </w:rPr>
              <w:t>Resource efficient</w:t>
            </w:r>
            <w:r w:rsidRPr="0066347A">
              <w:rPr>
                <w:szCs w:val="20"/>
              </w:rPr>
              <w:t xml:space="preserve"> with rapid data delivery</w:t>
            </w:r>
          </w:p>
          <w:p w14:paraId="7A6188DF" w14:textId="77777777" w:rsidR="00701186" w:rsidRPr="0066347A" w:rsidRDefault="00701186" w:rsidP="002F3B6A">
            <w:pPr>
              <w:pStyle w:val="ListParagraph"/>
              <w:numPr>
                <w:ilvl w:val="0"/>
                <w:numId w:val="10"/>
              </w:numPr>
              <w:ind w:left="252" w:hanging="252"/>
              <w:rPr>
                <w:szCs w:val="20"/>
              </w:rPr>
            </w:pPr>
            <w:r w:rsidRPr="0066347A">
              <w:rPr>
                <w:szCs w:val="20"/>
              </w:rPr>
              <w:t>Open access data</w:t>
            </w:r>
          </w:p>
          <w:p w14:paraId="0ACCDD2F" w14:textId="77777777" w:rsidR="00701186" w:rsidRPr="0066347A" w:rsidRDefault="00701186" w:rsidP="002F3B6A">
            <w:pPr>
              <w:pStyle w:val="ListParagraph"/>
              <w:numPr>
                <w:ilvl w:val="0"/>
                <w:numId w:val="10"/>
              </w:numPr>
              <w:ind w:left="252" w:hanging="252"/>
              <w:rPr>
                <w:szCs w:val="20"/>
              </w:rPr>
            </w:pPr>
            <w:r w:rsidRPr="0066347A">
              <w:rPr>
                <w:szCs w:val="20"/>
              </w:rPr>
              <w:t>Cross-country comparisons</w:t>
            </w:r>
          </w:p>
          <w:p w14:paraId="704E0573" w14:textId="77777777" w:rsidR="008464CB" w:rsidRPr="00701186" w:rsidRDefault="00701186" w:rsidP="002F3B6A">
            <w:pPr>
              <w:pStyle w:val="ListParagraph"/>
              <w:numPr>
                <w:ilvl w:val="0"/>
                <w:numId w:val="10"/>
              </w:numPr>
              <w:ind w:left="252" w:hanging="252"/>
              <w:rPr>
                <w:szCs w:val="20"/>
              </w:rPr>
            </w:pPr>
            <w:r w:rsidRPr="0066347A">
              <w:rPr>
                <w:szCs w:val="20"/>
              </w:rPr>
              <w:t>Multi-</w:t>
            </w:r>
            <w:r>
              <w:rPr>
                <w:szCs w:val="20"/>
              </w:rPr>
              <w:t xml:space="preserve">sectoral </w:t>
            </w:r>
            <w:r w:rsidRPr="0066347A">
              <w:rPr>
                <w:szCs w:val="20"/>
              </w:rPr>
              <w:t>partnership</w:t>
            </w:r>
            <w:r>
              <w:rPr>
                <w:szCs w:val="20"/>
              </w:rPr>
              <w:t>s</w:t>
            </w:r>
          </w:p>
        </w:tc>
      </w:tr>
    </w:tbl>
    <w:p w14:paraId="722AFECA" w14:textId="77777777" w:rsidR="008464CB" w:rsidRPr="00701186" w:rsidRDefault="008464CB" w:rsidP="008464CB">
      <w:pPr>
        <w:pStyle w:val="ListParagraph"/>
        <w:spacing w:before="120" w:after="0" w:line="240" w:lineRule="auto"/>
        <w:ind w:left="0"/>
        <w:rPr>
          <w:b/>
          <w:color w:val="442C79"/>
          <w:sz w:val="10"/>
          <w:szCs w:val="10"/>
        </w:rPr>
      </w:pPr>
    </w:p>
    <w:tbl>
      <w:tblPr>
        <w:tblpPr w:leftFromText="180" w:rightFromText="180" w:vertAnchor="text" w:tblpX="-39" w:tblpY="41"/>
        <w:tblW w:w="10530" w:type="dxa"/>
        <w:tblBorders>
          <w:top w:val="single" w:sz="4" w:space="0" w:color="auto"/>
          <w:right w:val="single" w:sz="4" w:space="0" w:color="auto"/>
        </w:tblBorders>
        <w:tblLook w:val="0000" w:firstRow="0" w:lastRow="0" w:firstColumn="0" w:lastColumn="0" w:noHBand="0" w:noVBand="0"/>
      </w:tblPr>
      <w:tblGrid>
        <w:gridCol w:w="1710"/>
        <w:gridCol w:w="8820"/>
      </w:tblGrid>
      <w:tr w:rsidR="008464CB" w14:paraId="6F4012F8" w14:textId="77777777" w:rsidTr="00701186">
        <w:trPr>
          <w:trHeight w:val="868"/>
        </w:trPr>
        <w:tc>
          <w:tcPr>
            <w:tcW w:w="1710" w:type="dxa"/>
            <w:tcBorders>
              <w:top w:val="single" w:sz="4" w:space="0" w:color="442C79"/>
              <w:bottom w:val="nil"/>
              <w:right w:val="single" w:sz="4" w:space="0" w:color="442C79"/>
            </w:tcBorders>
          </w:tcPr>
          <w:p w14:paraId="767D837D" w14:textId="77777777" w:rsidR="008464CB" w:rsidRPr="00CE49E5" w:rsidRDefault="008464CB" w:rsidP="002F3B6A">
            <w:pPr>
              <w:pStyle w:val="Subhead"/>
              <w:ind w:left="39"/>
            </w:pPr>
            <w:r>
              <w:t>Partner</w:t>
            </w:r>
            <w:r w:rsidR="002F3B6A">
              <w:t>s</w:t>
            </w:r>
            <w:r>
              <w:t xml:space="preserve"> </w:t>
            </w:r>
          </w:p>
        </w:tc>
        <w:tc>
          <w:tcPr>
            <w:tcW w:w="8820" w:type="dxa"/>
            <w:tcBorders>
              <w:top w:val="nil"/>
              <w:left w:val="single" w:sz="4" w:space="0" w:color="442C79"/>
              <w:right w:val="nil"/>
            </w:tcBorders>
          </w:tcPr>
          <w:p w14:paraId="482A5935" w14:textId="77777777" w:rsidR="008464CB" w:rsidRDefault="008464CB" w:rsidP="002F3B6A">
            <w:pPr>
              <w:pStyle w:val="ListParagraph"/>
              <w:numPr>
                <w:ilvl w:val="0"/>
                <w:numId w:val="10"/>
              </w:numPr>
              <w:autoSpaceDE w:val="0"/>
              <w:autoSpaceDN w:val="0"/>
              <w:adjustRightInd w:val="0"/>
              <w:spacing w:after="0" w:line="240" w:lineRule="auto"/>
              <w:ind w:left="252" w:hanging="252"/>
              <w:rPr>
                <w:rFonts w:eastAsia="Arial Unicode MS"/>
              </w:rPr>
            </w:pPr>
            <w:r w:rsidRPr="0066347A">
              <w:rPr>
                <w:rFonts w:eastAsia="Arial Unicode MS"/>
              </w:rPr>
              <w:t>Centers for Disease Control and Prevention</w:t>
            </w:r>
            <w:r>
              <w:rPr>
                <w:rFonts w:eastAsia="Arial Unicode MS"/>
              </w:rPr>
              <w:t xml:space="preserve"> (CDC) in collaboration with </w:t>
            </w:r>
          </w:p>
          <w:p w14:paraId="1BAD1767" w14:textId="5C4CDF61" w:rsidR="008464CB" w:rsidRPr="0066347A" w:rsidRDefault="002F3B6A" w:rsidP="002F3B6A">
            <w:pPr>
              <w:pStyle w:val="ListParagraph"/>
              <w:autoSpaceDE w:val="0"/>
              <w:autoSpaceDN w:val="0"/>
              <w:adjustRightInd w:val="0"/>
              <w:spacing w:after="0" w:line="240" w:lineRule="auto"/>
              <w:ind w:left="252" w:hanging="252"/>
              <w:rPr>
                <w:rFonts w:eastAsia="Arial Unicode MS"/>
              </w:rPr>
            </w:pPr>
            <w:r>
              <w:rPr>
                <w:rFonts w:eastAsia="Arial Unicode MS"/>
              </w:rPr>
              <w:t xml:space="preserve">     </w:t>
            </w:r>
            <w:r w:rsidR="008464CB">
              <w:rPr>
                <w:rFonts w:eastAsia="Arial Unicode MS"/>
              </w:rPr>
              <w:t xml:space="preserve">RTI International and </w:t>
            </w:r>
            <w:r w:rsidR="00B36577">
              <w:rPr>
                <w:rFonts w:eastAsia="Arial Unicode MS"/>
              </w:rPr>
              <w:t>Innovative Support to</w:t>
            </w:r>
            <w:r w:rsidR="008464CB" w:rsidRPr="00D432D3">
              <w:rPr>
                <w:rFonts w:eastAsia="Arial Unicode MS"/>
              </w:rPr>
              <w:t xml:space="preserve"> Emergencies Diseases and Disasters (</w:t>
            </w:r>
            <w:proofErr w:type="spellStart"/>
            <w:r w:rsidR="008464CB" w:rsidRPr="00D432D3">
              <w:rPr>
                <w:rFonts w:eastAsia="Arial Unicode MS"/>
              </w:rPr>
              <w:t>InSTEDD</w:t>
            </w:r>
            <w:proofErr w:type="spellEnd"/>
            <w:r w:rsidR="008464CB" w:rsidRPr="00D432D3">
              <w:rPr>
                <w:rFonts w:eastAsia="Arial Unicode MS"/>
              </w:rPr>
              <w:t>)</w:t>
            </w:r>
          </w:p>
          <w:p w14:paraId="5A679964" w14:textId="3CB88DFA" w:rsidR="008464CB" w:rsidRPr="008358B1" w:rsidRDefault="008464CB" w:rsidP="00671599">
            <w:pPr>
              <w:pStyle w:val="ListParagraph"/>
              <w:numPr>
                <w:ilvl w:val="0"/>
                <w:numId w:val="17"/>
              </w:numPr>
              <w:spacing w:after="120" w:line="240" w:lineRule="auto"/>
              <w:rPr>
                <w:szCs w:val="20"/>
              </w:rPr>
            </w:pPr>
            <w:r w:rsidRPr="000B4A9B">
              <w:rPr>
                <w:szCs w:val="20"/>
              </w:rPr>
              <w:t xml:space="preserve">Protocol and technology development and implementation support </w:t>
            </w:r>
            <w:r w:rsidRPr="008358B1">
              <w:rPr>
                <w:szCs w:val="20"/>
              </w:rPr>
              <w:t>for the mobile phone surveys</w:t>
            </w:r>
          </w:p>
          <w:p w14:paraId="53747C66" w14:textId="77777777" w:rsidR="008464CB" w:rsidRPr="000B4A9B" w:rsidDel="009D1749" w:rsidRDefault="008464CB" w:rsidP="000B4A9B">
            <w:pPr>
              <w:pStyle w:val="ListParagraph"/>
              <w:numPr>
                <w:ilvl w:val="0"/>
                <w:numId w:val="10"/>
              </w:numPr>
              <w:spacing w:after="120" w:line="240" w:lineRule="auto"/>
              <w:ind w:left="252" w:hanging="252"/>
              <w:rPr>
                <w:rFonts w:ascii="Palatino Linotype" w:hAnsi="Palatino Linotype"/>
                <w:sz w:val="20"/>
                <w:szCs w:val="20"/>
              </w:rPr>
            </w:pPr>
            <w:r w:rsidRPr="000B4A9B" w:rsidDel="009D1749">
              <w:rPr>
                <w:rFonts w:eastAsia="Arial Unicode MS"/>
              </w:rPr>
              <w:t>CDC Foundation</w:t>
            </w:r>
          </w:p>
          <w:p w14:paraId="36D5448D" w14:textId="77777777" w:rsidR="008464CB" w:rsidRPr="008358B1" w:rsidDel="009D1749" w:rsidRDefault="008464CB" w:rsidP="008358B1">
            <w:pPr>
              <w:pStyle w:val="ListParagraph"/>
              <w:numPr>
                <w:ilvl w:val="1"/>
                <w:numId w:val="16"/>
              </w:numPr>
              <w:spacing w:after="120" w:line="240" w:lineRule="auto"/>
              <w:ind w:left="612" w:hanging="270"/>
              <w:rPr>
                <w:szCs w:val="20"/>
              </w:rPr>
            </w:pPr>
            <w:r w:rsidRPr="008358B1" w:rsidDel="009D1749">
              <w:rPr>
                <w:szCs w:val="20"/>
              </w:rPr>
              <w:t>Resource and program support</w:t>
            </w:r>
          </w:p>
          <w:p w14:paraId="2EB3937D" w14:textId="77777777" w:rsidR="008464CB" w:rsidRPr="00913F88" w:rsidRDefault="008464CB" w:rsidP="00EA4613">
            <w:pPr>
              <w:pStyle w:val="ListParagraph"/>
              <w:numPr>
                <w:ilvl w:val="0"/>
                <w:numId w:val="10"/>
              </w:numPr>
              <w:autoSpaceDE w:val="0"/>
              <w:autoSpaceDN w:val="0"/>
              <w:adjustRightInd w:val="0"/>
              <w:spacing w:after="0" w:line="240" w:lineRule="auto"/>
              <w:ind w:left="252" w:hanging="252"/>
              <w:rPr>
                <w:rFonts w:eastAsia="Arial Unicode MS"/>
              </w:rPr>
            </w:pPr>
            <w:r w:rsidRPr="00913F88">
              <w:rPr>
                <w:rFonts w:eastAsia="Arial Unicode MS"/>
              </w:rPr>
              <w:t>Johns Hopkins Bloomberg School of Public Health</w:t>
            </w:r>
          </w:p>
          <w:p w14:paraId="3A2DFA14" w14:textId="77777777" w:rsidR="008464CB" w:rsidRPr="008358B1" w:rsidRDefault="008464CB" w:rsidP="008358B1">
            <w:pPr>
              <w:pStyle w:val="ListParagraph"/>
              <w:numPr>
                <w:ilvl w:val="1"/>
                <w:numId w:val="16"/>
              </w:numPr>
              <w:spacing w:after="120" w:line="240" w:lineRule="auto"/>
              <w:ind w:left="612" w:hanging="270"/>
              <w:rPr>
                <w:szCs w:val="20"/>
              </w:rPr>
            </w:pPr>
            <w:r w:rsidRPr="008358B1">
              <w:rPr>
                <w:szCs w:val="20"/>
              </w:rPr>
              <w:t xml:space="preserve">Research and development on use of mobile phones for NCD surveillance </w:t>
            </w:r>
          </w:p>
          <w:p w14:paraId="10DF98AD" w14:textId="77777777" w:rsidR="008464CB" w:rsidRPr="00913F88" w:rsidRDefault="008464CB" w:rsidP="00EA4613">
            <w:pPr>
              <w:pStyle w:val="ListParagraph"/>
              <w:numPr>
                <w:ilvl w:val="0"/>
                <w:numId w:val="10"/>
              </w:numPr>
              <w:tabs>
                <w:tab w:val="left" w:pos="12"/>
              </w:tabs>
              <w:spacing w:after="120" w:line="240" w:lineRule="auto"/>
              <w:ind w:left="252" w:hanging="252"/>
              <w:rPr>
                <w:rFonts w:ascii="Palatino Linotype" w:hAnsi="Palatino Linotype"/>
                <w:sz w:val="20"/>
                <w:szCs w:val="20"/>
              </w:rPr>
            </w:pPr>
            <w:r w:rsidRPr="00913F88">
              <w:rPr>
                <w:rFonts w:eastAsia="Arial Unicode MS"/>
              </w:rPr>
              <w:t>World Health Organization (WHO)</w:t>
            </w:r>
          </w:p>
          <w:p w14:paraId="6CF0DC4B" w14:textId="10511B65" w:rsidR="008464CB" w:rsidRPr="0066347A" w:rsidRDefault="008464CB" w:rsidP="008358B1">
            <w:pPr>
              <w:pStyle w:val="ListParagraph"/>
              <w:numPr>
                <w:ilvl w:val="1"/>
                <w:numId w:val="16"/>
              </w:numPr>
              <w:spacing w:after="120" w:line="240" w:lineRule="auto"/>
              <w:ind w:left="612" w:hanging="270"/>
              <w:rPr>
                <w:szCs w:val="21"/>
              </w:rPr>
            </w:pPr>
            <w:r w:rsidRPr="008358B1">
              <w:rPr>
                <w:szCs w:val="20"/>
              </w:rPr>
              <w:t xml:space="preserve">WHO-supported </w:t>
            </w:r>
            <w:r w:rsidRPr="00D04F08">
              <w:rPr>
                <w:szCs w:val="20"/>
              </w:rPr>
              <w:t>STEPS</w:t>
            </w:r>
            <w:r w:rsidRPr="008358B1">
              <w:rPr>
                <w:szCs w:val="20"/>
              </w:rPr>
              <w:t xml:space="preserve"> household survey implementation in collaboration with ministries of health country partners</w:t>
            </w:r>
          </w:p>
        </w:tc>
      </w:tr>
    </w:tbl>
    <w:p w14:paraId="08249953" w14:textId="352464A6" w:rsidR="008464CB" w:rsidRPr="00CE49E5" w:rsidRDefault="001D163E" w:rsidP="001D163E">
      <w:pPr>
        <w:spacing w:before="120" w:after="0" w:line="240" w:lineRule="auto"/>
        <w:rPr>
          <w:b/>
          <w:color w:val="442C79"/>
          <w:sz w:val="24"/>
        </w:rPr>
      </w:pPr>
      <w:r>
        <w:rPr>
          <w:noProof/>
        </w:rPr>
        <mc:AlternateContent>
          <mc:Choice Requires="wps">
            <w:drawing>
              <wp:anchor distT="0" distB="0" distL="114300" distR="114300" simplePos="0" relativeHeight="251659264" behindDoc="0" locked="0" layoutInCell="1" allowOverlap="1" wp14:anchorId="7F1AC7E9" wp14:editId="41742FC7">
                <wp:simplePos x="0" y="0"/>
                <wp:positionH relativeFrom="column">
                  <wp:posOffset>-304800</wp:posOffset>
                </wp:positionH>
                <wp:positionV relativeFrom="paragraph">
                  <wp:posOffset>2168525</wp:posOffset>
                </wp:positionV>
                <wp:extent cx="7055485" cy="5689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705548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7F9B47" w14:textId="53B266AF" w:rsidR="00B83B49" w:rsidRPr="00CF3527" w:rsidRDefault="00B83B49" w:rsidP="001D163E">
                            <w:pPr>
                              <w:spacing w:before="120" w:after="0" w:line="240" w:lineRule="auto"/>
                              <w:rPr>
                                <w:sz w:val="16"/>
                                <w:szCs w:val="16"/>
                              </w:rPr>
                            </w:pPr>
                            <w:r w:rsidRPr="00CF3527">
                              <w:rPr>
                                <w:rFonts w:cs="Arial"/>
                                <w:color w:val="222222"/>
                                <w:sz w:val="16"/>
                                <w:szCs w:val="16"/>
                                <w:vertAlign w:val="superscript"/>
                              </w:rPr>
                              <w:t>1</w:t>
                            </w:r>
                            <w:r w:rsidR="00CF3527" w:rsidRPr="00CF3527">
                              <w:rPr>
                                <w:rStyle w:val="citationtext15"/>
                                <w:rFonts w:cs="Helvetica"/>
                                <w:sz w:val="16"/>
                                <w:szCs w:val="16"/>
                                <w:lang w:val="en"/>
                              </w:rPr>
                              <w:t xml:space="preserve">"NCD Mortality and Morbidity." </w:t>
                            </w:r>
                            <w:r w:rsidR="00CF3527" w:rsidRPr="00CF3527">
                              <w:rPr>
                                <w:rStyle w:val="citationtext15"/>
                                <w:rFonts w:cs="Helvetica"/>
                                <w:i/>
                                <w:iCs/>
                                <w:sz w:val="16"/>
                                <w:szCs w:val="16"/>
                                <w:lang w:val="en"/>
                              </w:rPr>
                              <w:t>WHO Global Health Observatory (GHO) Data</w:t>
                            </w:r>
                            <w:r w:rsidR="00CF3527" w:rsidRPr="00CF3527">
                              <w:rPr>
                                <w:rStyle w:val="citationtext15"/>
                                <w:rFonts w:cs="Helvetica"/>
                                <w:sz w:val="16"/>
                                <w:szCs w:val="16"/>
                                <w:lang w:val="en"/>
                              </w:rPr>
                              <w:t xml:space="preserve">. World Health Organization, 2017. Web. 02 June 2017. </w:t>
                            </w:r>
                            <w:r w:rsidRPr="00CF3527">
                              <w:rPr>
                                <w:rFonts w:cs="Arial"/>
                                <w:color w:val="222222"/>
                                <w:sz w:val="16"/>
                                <w:szCs w:val="16"/>
                              </w:rPr>
                              <w:t xml:space="preserve">                                                                 </w:t>
                            </w:r>
                          </w:p>
                          <w:p w14:paraId="2B74AFDC" w14:textId="77777777" w:rsidR="00B83B49" w:rsidRPr="00CE49E5" w:rsidRDefault="00B83B49" w:rsidP="001D163E">
                            <w:pPr>
                              <w:pStyle w:val="ListParagraph"/>
                              <w:spacing w:after="0" w:line="240" w:lineRule="auto"/>
                              <w:ind w:left="0"/>
                              <w:rPr>
                                <w:b/>
                                <w:color w:val="442C79"/>
                                <w:sz w:val="24"/>
                              </w:rPr>
                            </w:pPr>
                            <w:r w:rsidRPr="007D1BFE">
                              <w:rPr>
                                <w:sz w:val="16"/>
                                <w:szCs w:val="16"/>
                                <w:vertAlign w:val="superscript"/>
                              </w:rPr>
                              <w:t>2</w:t>
                            </w:r>
                            <w:r>
                              <w:rPr>
                                <w:rFonts w:cs="Arial"/>
                                <w:color w:val="222222"/>
                                <w:sz w:val="16"/>
                                <w:szCs w:val="16"/>
                              </w:rPr>
                              <w:t xml:space="preserve">World Economic Forum and World Health Organization. </w:t>
                            </w:r>
                            <w:r w:rsidRPr="00A60CAB">
                              <w:rPr>
                                <w:rFonts w:cs="Arial"/>
                                <w:i/>
                                <w:color w:val="222222"/>
                                <w:sz w:val="16"/>
                                <w:szCs w:val="16"/>
                              </w:rPr>
                              <w:t>From burden to “best buys”: reducing the economic impact of non-communicable diseases in low-and middle-income countries.</w:t>
                            </w:r>
                            <w:r w:rsidRPr="007D1BFE">
                              <w:rPr>
                                <w:rFonts w:cs="Arial"/>
                                <w:color w:val="222222"/>
                                <w:sz w:val="16"/>
                                <w:szCs w:val="16"/>
                              </w:rPr>
                              <w:t xml:space="preserve"> </w:t>
                            </w:r>
                            <w:r w:rsidRPr="00A60CAB">
                              <w:rPr>
                                <w:rFonts w:cs="Arial"/>
                                <w:iCs/>
                                <w:color w:val="222222"/>
                                <w:sz w:val="16"/>
                                <w:szCs w:val="16"/>
                              </w:rPr>
                              <w:t>World Economic Forum</w:t>
                            </w:r>
                            <w:r>
                              <w:rPr>
                                <w:rFonts w:cs="Arial"/>
                                <w:color w:val="222222"/>
                                <w:sz w:val="16"/>
                                <w:szCs w:val="16"/>
                              </w:rPr>
                              <w:t>,</w:t>
                            </w:r>
                            <w:r w:rsidRPr="007D1BFE">
                              <w:rPr>
                                <w:rFonts w:cs="Arial"/>
                                <w:color w:val="222222"/>
                                <w:sz w:val="16"/>
                                <w:szCs w:val="16"/>
                              </w:rPr>
                              <w:t xml:space="preserve"> 2011.</w:t>
                            </w:r>
                            <w:r w:rsidRPr="00913966">
                              <w:rPr>
                                <w:noProof/>
                              </w:rPr>
                              <w:t xml:space="preserve"> </w:t>
                            </w:r>
                          </w:p>
                          <w:p w14:paraId="368B662F" w14:textId="77777777" w:rsidR="00B83B49" w:rsidRDefault="00B83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AC7E9" id="_x0000_t202" coordsize="21600,21600" o:spt="202" path="m,l,21600r21600,l21600,xe">
                <v:stroke joinstyle="miter"/>
                <v:path gradientshapeok="t" o:connecttype="rect"/>
              </v:shapetype>
              <v:shape id="Text Box 9" o:spid="_x0000_s1026" type="#_x0000_t202" style="position:absolute;margin-left:-24pt;margin-top:170.75pt;width:555.5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" filled="f" stroked="f">
                <v:textbox>
                  <w:txbxContent>
                    <w:p w14:paraId="257F9B47" w14:textId="53B266AF" w:rsidR="00B83B49" w:rsidRPr="00CF3527" w:rsidRDefault="00B83B49" w:rsidP="001D163E">
                      <w:pPr>
                        <w:spacing w:before="120" w:after="0" w:line="240" w:lineRule="auto"/>
                        <w:rPr>
                          <w:sz w:val="16"/>
                          <w:szCs w:val="16"/>
                        </w:rPr>
                      </w:pPr>
                      <w:r w:rsidRPr="00CF3527">
                        <w:rPr>
                          <w:rFonts w:cs="Arial"/>
                          <w:color w:val="222222"/>
                          <w:sz w:val="16"/>
                          <w:szCs w:val="16"/>
                          <w:vertAlign w:val="superscript"/>
                        </w:rPr>
                        <w:t>1</w:t>
                      </w:r>
                      <w:r w:rsidR="00CF3527" w:rsidRPr="00CF3527">
                        <w:rPr>
                          <w:rStyle w:val="citationtext15"/>
                          <w:rFonts w:cs="Helvetica"/>
                          <w:sz w:val="16"/>
                          <w:szCs w:val="16"/>
                          <w:lang w:val="en"/>
                        </w:rPr>
                        <w:t xml:space="preserve">"NCD Mortality and Morbidity." </w:t>
                      </w:r>
                      <w:proofErr w:type="gramStart"/>
                      <w:r w:rsidR="00CF3527" w:rsidRPr="00CF3527">
                        <w:rPr>
                          <w:rStyle w:val="citationtext15"/>
                          <w:rFonts w:cs="Helvetica"/>
                          <w:i/>
                          <w:iCs/>
                          <w:sz w:val="16"/>
                          <w:szCs w:val="16"/>
                          <w:lang w:val="en"/>
                        </w:rPr>
                        <w:t>WHO</w:t>
                      </w:r>
                      <w:proofErr w:type="gramEnd"/>
                      <w:r w:rsidR="00CF3527" w:rsidRPr="00CF3527">
                        <w:rPr>
                          <w:rStyle w:val="citationtext15"/>
                          <w:rFonts w:cs="Helvetica"/>
                          <w:i/>
                          <w:iCs/>
                          <w:sz w:val="16"/>
                          <w:szCs w:val="16"/>
                          <w:lang w:val="en"/>
                        </w:rPr>
                        <w:t xml:space="preserve"> Global Health Observatory (GHO) Data</w:t>
                      </w:r>
                      <w:r w:rsidR="00CF3527" w:rsidRPr="00CF3527">
                        <w:rPr>
                          <w:rStyle w:val="citationtext15"/>
                          <w:rFonts w:cs="Helvetica"/>
                          <w:sz w:val="16"/>
                          <w:szCs w:val="16"/>
                          <w:lang w:val="en"/>
                        </w:rPr>
                        <w:t xml:space="preserve">. World Health Organization, 2017. Web. 02 June 2017. </w:t>
                      </w:r>
                      <w:r w:rsidRPr="00CF3527">
                        <w:rPr>
                          <w:rFonts w:cs="Arial"/>
                          <w:color w:val="222222"/>
                          <w:sz w:val="16"/>
                          <w:szCs w:val="16"/>
                        </w:rPr>
                        <w:t xml:space="preserve">                                                                 </w:t>
                      </w:r>
                    </w:p>
                    <w:p w14:paraId="2B74AFDC" w14:textId="77777777" w:rsidR="00B83B49" w:rsidRPr="00CE49E5" w:rsidRDefault="00B83B49" w:rsidP="001D163E">
                      <w:pPr>
                        <w:pStyle w:val="ListParagraph"/>
                        <w:spacing w:after="0" w:line="240" w:lineRule="auto"/>
                        <w:ind w:left="0"/>
                        <w:rPr>
                          <w:b/>
                          <w:color w:val="442C79"/>
                          <w:sz w:val="24"/>
                        </w:rPr>
                      </w:pPr>
                      <w:r w:rsidRPr="007D1BFE">
                        <w:rPr>
                          <w:sz w:val="16"/>
                          <w:szCs w:val="16"/>
                          <w:vertAlign w:val="superscript"/>
                        </w:rPr>
                        <w:t>2</w:t>
                      </w:r>
                      <w:r>
                        <w:rPr>
                          <w:rFonts w:cs="Arial"/>
                          <w:color w:val="222222"/>
                          <w:sz w:val="16"/>
                          <w:szCs w:val="16"/>
                        </w:rPr>
                        <w:t xml:space="preserve">World Economic Forum and World Health Organization. </w:t>
                      </w:r>
                      <w:r w:rsidRPr="00A60CAB">
                        <w:rPr>
                          <w:rFonts w:cs="Arial"/>
                          <w:i/>
                          <w:color w:val="222222"/>
                          <w:sz w:val="16"/>
                          <w:szCs w:val="16"/>
                        </w:rPr>
                        <w:t>From burden to “best buys”: reducing the economic impact of non-communicable diseases in low-and middle-income countries.</w:t>
                      </w:r>
                      <w:r w:rsidRPr="007D1BFE">
                        <w:rPr>
                          <w:rFonts w:cs="Arial"/>
                          <w:color w:val="222222"/>
                          <w:sz w:val="16"/>
                          <w:szCs w:val="16"/>
                        </w:rPr>
                        <w:t xml:space="preserve"> </w:t>
                      </w:r>
                      <w:r w:rsidRPr="00A60CAB">
                        <w:rPr>
                          <w:rFonts w:cs="Arial"/>
                          <w:iCs/>
                          <w:color w:val="222222"/>
                          <w:sz w:val="16"/>
                          <w:szCs w:val="16"/>
                        </w:rPr>
                        <w:t>World Economic Forum</w:t>
                      </w:r>
                      <w:r>
                        <w:rPr>
                          <w:rFonts w:cs="Arial"/>
                          <w:color w:val="222222"/>
                          <w:sz w:val="16"/>
                          <w:szCs w:val="16"/>
                        </w:rPr>
                        <w:t>,</w:t>
                      </w:r>
                      <w:r w:rsidRPr="007D1BFE">
                        <w:rPr>
                          <w:rFonts w:cs="Arial"/>
                          <w:color w:val="222222"/>
                          <w:sz w:val="16"/>
                          <w:szCs w:val="16"/>
                        </w:rPr>
                        <w:t xml:space="preserve"> 2011.</w:t>
                      </w:r>
                      <w:r w:rsidRPr="00913966">
                        <w:rPr>
                          <w:noProof/>
                        </w:rPr>
                        <w:t xml:space="preserve"> </w:t>
                      </w:r>
                    </w:p>
                    <w:p w14:paraId="368B662F" w14:textId="77777777" w:rsidR="00B83B49" w:rsidRDefault="00B83B49"/>
                  </w:txbxContent>
                </v:textbox>
              </v:shape>
            </w:pict>
          </mc:Fallback>
        </mc:AlternateContent>
      </w:r>
      <w:r w:rsidR="00913966" w:rsidRPr="00913966">
        <w:rPr>
          <w:noProof/>
        </w:rPr>
        <w:t xml:space="preserve"> </w:t>
      </w:r>
    </w:p>
    <w:sectPr w:rsidR="008464CB" w:rsidRPr="00CE49E5" w:rsidSect="00BE610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5E20" w14:textId="77777777" w:rsidR="00B83B49" w:rsidRDefault="00B83B49" w:rsidP="008B5D54">
      <w:pPr>
        <w:spacing w:after="0" w:line="240" w:lineRule="auto"/>
      </w:pPr>
      <w:r>
        <w:separator/>
      </w:r>
    </w:p>
  </w:endnote>
  <w:endnote w:type="continuationSeparator" w:id="0">
    <w:p w14:paraId="7E757760" w14:textId="77777777" w:rsidR="00B83B49" w:rsidRDefault="00B83B4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D9E0" w14:textId="77777777" w:rsidR="002D184F" w:rsidRDefault="002D1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A0FA" w14:textId="1BDBBEB1" w:rsidR="00B83B49" w:rsidRDefault="002D184F" w:rsidP="00BE6106">
    <w:pPr>
      <w:pStyle w:val="Footer"/>
      <w:ind w:left="3240" w:firstLine="3960"/>
      <w:rPr>
        <w:sz w:val="20"/>
      </w:rPr>
    </w:pPr>
    <w:r>
      <w:rPr>
        <w:noProof/>
      </w:rPr>
      <mc:AlternateContent>
        <mc:Choice Requires="wps">
          <w:drawing>
            <wp:anchor distT="0" distB="0" distL="114300" distR="114300" simplePos="0" relativeHeight="251661824" behindDoc="0" locked="0" layoutInCell="1" allowOverlap="1" wp14:anchorId="0F8937EC" wp14:editId="2B37220E">
              <wp:simplePos x="0" y="0"/>
              <wp:positionH relativeFrom="column">
                <wp:posOffset>4344256</wp:posOffset>
              </wp:positionH>
              <wp:positionV relativeFrom="page">
                <wp:posOffset>9582482</wp:posOffset>
              </wp:positionV>
              <wp:extent cx="1316355" cy="227965"/>
              <wp:effectExtent l="0" t="0" r="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16355" cy="227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7924D" w14:textId="7780FADE" w:rsidR="00B83B49" w:rsidRPr="002F3B6A" w:rsidRDefault="00CF3527" w:rsidP="00BE6106">
                          <w:pPr>
                            <w:pStyle w:val="Footer"/>
                            <w:rPr>
                              <w:sz w:val="14"/>
                              <w:szCs w:val="17"/>
                            </w:rPr>
                          </w:pPr>
                          <w:r>
                            <w:rPr>
                              <w:sz w:val="14"/>
                              <w:szCs w:val="17"/>
                            </w:rPr>
                            <w:t>Last Updated: 6.2</w:t>
                          </w:r>
                          <w:r w:rsidR="007C4876">
                            <w:rPr>
                              <w:sz w:val="14"/>
                              <w:szCs w:val="17"/>
                            </w:rPr>
                            <w:t>.2017</w:t>
                          </w:r>
                        </w:p>
                        <w:p w14:paraId="062453D1" w14:textId="77777777" w:rsidR="00B83B49" w:rsidRPr="002F3B6A" w:rsidRDefault="00B83B49" w:rsidP="00BE6106">
                          <w:pPr>
                            <w:spacing w:after="0"/>
                            <w:jc w:val="righ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937EC" id="_x0000_t202" coordsize="21600,21600" o:spt="202" path="m,l,21600r21600,l21600,xe">
              <v:stroke joinstyle="miter"/>
              <v:path gradientshapeok="t" o:connecttype="rect"/>
            </v:shapetype>
            <v:shape id="Text Box 4" o:spid="_x0000_s1028" type="#_x0000_t202" style="position:absolute;left:0;text-align:left;margin-left:342.05pt;margin-top:754.55pt;width:103.65pt;height:1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" filled="f" stroked="f">
              <v:path arrowok="t"/>
              <o:lock v:ext="edit" aspectratio="t"/>
              <v:textbox>
                <w:txbxContent>
                  <w:p w14:paraId="2127924D" w14:textId="7780FADE" w:rsidR="00B83B49" w:rsidRPr="002F3B6A" w:rsidRDefault="00CF3527" w:rsidP="00BE6106">
                    <w:pPr>
                      <w:pStyle w:val="Footer"/>
                      <w:rPr>
                        <w:sz w:val="14"/>
                        <w:szCs w:val="17"/>
                      </w:rPr>
                    </w:pPr>
                    <w:r>
                      <w:rPr>
                        <w:sz w:val="14"/>
                        <w:szCs w:val="17"/>
                      </w:rPr>
                      <w:t>Last Updated: 6.2</w:t>
                    </w:r>
                    <w:r w:rsidR="007C4876">
                      <w:rPr>
                        <w:sz w:val="14"/>
                        <w:szCs w:val="17"/>
                      </w:rPr>
                      <w:t>.2017</w:t>
                    </w:r>
                  </w:p>
                  <w:p w14:paraId="062453D1" w14:textId="77777777" w:rsidR="00B83B49" w:rsidRPr="002F3B6A" w:rsidRDefault="00B83B49" w:rsidP="00BE6106">
                    <w:pPr>
                      <w:spacing w:after="0"/>
                      <w:jc w:val="right"/>
                      <w:rPr>
                        <w:sz w:val="16"/>
                      </w:rPr>
                    </w:pPr>
                  </w:p>
                </w:txbxContent>
              </v:textbox>
              <w10:wrap anchory="page"/>
            </v:shape>
          </w:pict>
        </mc:Fallback>
      </mc:AlternateContent>
    </w:r>
    <w:r w:rsidR="00B83B49" w:rsidRPr="00671AE2">
      <w:rPr>
        <w:noProof/>
        <w:sz w:val="20"/>
      </w:rPr>
      <w:drawing>
        <wp:anchor distT="0" distB="0" distL="114300" distR="114300" simplePos="0" relativeHeight="251660800" behindDoc="1" locked="0" layoutInCell="1" allowOverlap="1" wp14:anchorId="525BB245" wp14:editId="22D2E433">
          <wp:simplePos x="0" y="0"/>
          <wp:positionH relativeFrom="page">
            <wp:posOffset>-190500</wp:posOffset>
          </wp:positionH>
          <wp:positionV relativeFrom="paragraph">
            <wp:posOffset>91589</wp:posOffset>
          </wp:positionV>
          <wp:extent cx="7988300" cy="292565"/>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NCD_FTR.tif"/>
                  <pic:cNvPicPr/>
                </pic:nvPicPr>
                <pic:blipFill>
                  <a:blip r:embed="rId1">
                    <a:extLst>
                      <a:ext uri="{28A0092B-C50C-407E-A947-70E740481C1C}">
                        <a14:useLocalDpi xmlns:a14="http://schemas.microsoft.com/office/drawing/2010/main" val="0"/>
                      </a:ext>
                    </a:extLst>
                  </a:blip>
                  <a:stretch>
                    <a:fillRect/>
                  </a:stretch>
                </pic:blipFill>
                <pic:spPr>
                  <a:xfrm>
                    <a:off x="0" y="0"/>
                    <a:ext cx="8588120" cy="314533"/>
                  </a:xfrm>
                  <a:prstGeom prst="rect">
                    <a:avLst/>
                  </a:prstGeom>
                </pic:spPr>
              </pic:pic>
            </a:graphicData>
          </a:graphic>
          <wp14:sizeRelH relativeFrom="margin">
            <wp14:pctWidth>0</wp14:pctWidth>
          </wp14:sizeRelH>
          <wp14:sizeRelV relativeFrom="margin">
            <wp14:pctHeight>0</wp14:pctHeight>
          </wp14:sizeRelV>
        </wp:anchor>
      </w:drawing>
    </w:r>
  </w:p>
  <w:p w14:paraId="20F3748F" w14:textId="6D4C1C04" w:rsidR="00B83B49" w:rsidRPr="00BE6106" w:rsidRDefault="00B83B49" w:rsidP="00BE610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7643" w14:textId="77777777" w:rsidR="002D184F" w:rsidRDefault="002D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0F60" w14:textId="77777777" w:rsidR="00B83B49" w:rsidRDefault="00B83B49" w:rsidP="008B5D54">
      <w:pPr>
        <w:spacing w:after="0" w:line="240" w:lineRule="auto"/>
      </w:pPr>
      <w:r>
        <w:separator/>
      </w:r>
    </w:p>
  </w:footnote>
  <w:footnote w:type="continuationSeparator" w:id="0">
    <w:p w14:paraId="00E553BE" w14:textId="77777777" w:rsidR="00B83B49" w:rsidRDefault="00B83B4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284E" w14:textId="77777777" w:rsidR="002D184F" w:rsidRDefault="002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DAE5" w14:textId="77777777" w:rsidR="00B83B49" w:rsidRPr="00BE6106" w:rsidRDefault="00B83B49" w:rsidP="00BE6106">
    <w:pPr>
      <w:pStyle w:val="Header"/>
    </w:pPr>
    <w:r w:rsidRPr="009B372D">
      <w:rPr>
        <w:b/>
        <w:noProof/>
        <w:sz w:val="24"/>
        <w:szCs w:val="28"/>
      </w:rPr>
      <mc:AlternateContent>
        <mc:Choice Requires="wps">
          <w:drawing>
            <wp:anchor distT="45720" distB="45720" distL="114300" distR="114300" simplePos="0" relativeHeight="251664896" behindDoc="0" locked="0" layoutInCell="1" allowOverlap="1" wp14:anchorId="1DBDC172" wp14:editId="13B306DC">
              <wp:simplePos x="0" y="0"/>
              <wp:positionH relativeFrom="column">
                <wp:posOffset>4305935</wp:posOffset>
              </wp:positionH>
              <wp:positionV relativeFrom="page">
                <wp:posOffset>571500</wp:posOffset>
              </wp:positionV>
              <wp:extent cx="2585720" cy="345440"/>
              <wp:effectExtent l="0" t="0" r="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45440"/>
                      </a:xfrm>
                      <a:prstGeom prst="rect">
                        <a:avLst/>
                      </a:prstGeom>
                      <a:noFill/>
                      <a:ln w="9525">
                        <a:noFill/>
                        <a:miter lim="800000"/>
                        <a:headEnd/>
                        <a:tailEnd/>
                      </a:ln>
                    </wps:spPr>
                    <wps:txbx>
                      <w:txbxContent>
                        <w:p w14:paraId="3D017F43" w14:textId="77777777" w:rsidR="00B83B49" w:rsidRPr="00E9342D" w:rsidRDefault="00B83B49" w:rsidP="00BE6106">
                          <w:pPr>
                            <w:spacing w:before="60" w:after="0" w:line="240" w:lineRule="auto"/>
                            <w:ind w:left="720"/>
                            <w:jc w:val="right"/>
                            <w:rPr>
                              <w:b/>
                              <w:color w:val="FFFFFF" w:themeColor="background1"/>
                            </w:rPr>
                          </w:pPr>
                          <w:r>
                            <w:rPr>
                              <w:b/>
                              <w:color w:val="FFFFFF" w:themeColor="background1"/>
                            </w:rPr>
                            <w:t>Overview</w:t>
                          </w:r>
                        </w:p>
                        <w:p w14:paraId="7D7C02E8" w14:textId="77777777" w:rsidR="00B83B49" w:rsidRPr="009C1328" w:rsidRDefault="00B83B49" w:rsidP="00BE6106">
                          <w:pPr>
                            <w:spacing w:before="60" w:after="0" w:line="240" w:lineRule="auto"/>
                            <w:ind w:left="720"/>
                            <w:jc w:val="right"/>
                            <w:rPr>
                              <w:b/>
                              <w:color w:val="FFFFFF" w:themeColor="background1"/>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DC172" id="_x0000_t202" coordsize="21600,21600" o:spt="202" path="m,l,21600r21600,l21600,xe">
              <v:stroke joinstyle="miter"/>
              <v:path gradientshapeok="t" o:connecttype="rect"/>
            </v:shapetype>
            <v:shape id="Text Box 2" o:spid="_x0000_s1027" type="#_x0000_t202" style="position:absolute;margin-left:339.05pt;margin-top:45pt;width:203.6pt;height:27.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" filled="f" stroked="f">
              <v:textbox>
                <w:txbxContent>
                  <w:p w14:paraId="3D017F43" w14:textId="77777777" w:rsidR="00B83B49" w:rsidRPr="00E9342D" w:rsidRDefault="00B83B49" w:rsidP="00BE6106">
                    <w:pPr>
                      <w:spacing w:before="60" w:after="0" w:line="240" w:lineRule="auto"/>
                      <w:ind w:left="720"/>
                      <w:jc w:val="right"/>
                      <w:rPr>
                        <w:b/>
                        <w:color w:val="FFFFFF" w:themeColor="background1"/>
                      </w:rPr>
                    </w:pPr>
                    <w:r>
                      <w:rPr>
                        <w:b/>
                        <w:color w:val="FFFFFF" w:themeColor="background1"/>
                      </w:rPr>
                      <w:t>Overview</w:t>
                    </w:r>
                  </w:p>
                  <w:p w14:paraId="7D7C02E8" w14:textId="77777777" w:rsidR="00B83B49" w:rsidRPr="009C1328" w:rsidRDefault="00B83B49" w:rsidP="00BE6106">
                    <w:pPr>
                      <w:spacing w:before="60" w:after="0" w:line="240" w:lineRule="auto"/>
                      <w:ind w:left="720"/>
                      <w:jc w:val="right"/>
                      <w:rPr>
                        <w:b/>
                        <w:color w:val="FFFFFF" w:themeColor="background1"/>
                        <w:sz w:val="21"/>
                      </w:rPr>
                    </w:pPr>
                  </w:p>
                </w:txbxContent>
              </v:textbox>
              <w10:wrap anchory="page"/>
            </v:shape>
          </w:pict>
        </mc:Fallback>
      </mc:AlternateContent>
    </w:r>
    <w:r>
      <w:rPr>
        <w:noProof/>
      </w:rPr>
      <w:drawing>
        <wp:anchor distT="0" distB="0" distL="114300" distR="114300" simplePos="0" relativeHeight="251663872" behindDoc="1" locked="0" layoutInCell="1" allowOverlap="1" wp14:anchorId="561AF498" wp14:editId="632660C8">
          <wp:simplePos x="0" y="0"/>
          <wp:positionH relativeFrom="column">
            <wp:posOffset>-698500</wp:posOffset>
          </wp:positionH>
          <wp:positionV relativeFrom="paragraph">
            <wp:posOffset>-552500</wp:posOffset>
          </wp:positionV>
          <wp:extent cx="7793587" cy="601395"/>
          <wp:effectExtent l="0" t="0" r="444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 Mobile Header_Surveillance.png"/>
                  <pic:cNvPicPr/>
                </pic:nvPicPr>
                <pic:blipFill>
                  <a:blip r:embed="rId1">
                    <a:extLst>
                      <a:ext uri="{28A0092B-C50C-407E-A947-70E740481C1C}">
                        <a14:useLocalDpi xmlns:a14="http://schemas.microsoft.com/office/drawing/2010/main" val="0"/>
                      </a:ext>
                    </a:extLst>
                  </a:blip>
                  <a:stretch>
                    <a:fillRect/>
                  </a:stretch>
                </pic:blipFill>
                <pic:spPr>
                  <a:xfrm>
                    <a:off x="0" y="0"/>
                    <a:ext cx="8005487" cy="6177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230D" w14:textId="77777777" w:rsidR="002D184F" w:rsidRDefault="002D1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9pt;height:22.55pt" o:bullet="t">
        <v:imagedata r:id="rId1" o:title="NCD Arrow"/>
      </v:shape>
    </w:pict>
  </w:numPicBullet>
  <w:numPicBullet w:numPicBulletId="1">
    <w:pict>
      <v:shape id="_x0000_i1031" type="#_x0000_t75" style="width:16.9pt;height:22.55pt" o:bullet="t">
        <v:imagedata r:id="rId2" o:title="NCD Arrow_purple"/>
      </v:shape>
    </w:pict>
  </w:numPicBullet>
  <w:abstractNum w:abstractNumId="0" w15:restartNumberingAfterBreak="0">
    <w:nsid w:val="FFFFFF1D"/>
    <w:multiLevelType w:val="multilevel"/>
    <w:tmpl w:val="716CA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30C9"/>
    <w:multiLevelType w:val="hybridMultilevel"/>
    <w:tmpl w:val="6D281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26760E"/>
    <w:multiLevelType w:val="hybridMultilevel"/>
    <w:tmpl w:val="EC0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51E8"/>
    <w:multiLevelType w:val="hybridMultilevel"/>
    <w:tmpl w:val="A9CA38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733"/>
    <w:multiLevelType w:val="hybridMultilevel"/>
    <w:tmpl w:val="4A02C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9669A"/>
    <w:multiLevelType w:val="hybridMultilevel"/>
    <w:tmpl w:val="CE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E2497"/>
    <w:multiLevelType w:val="hybridMultilevel"/>
    <w:tmpl w:val="1188EA46"/>
    <w:lvl w:ilvl="0" w:tplc="3E12BE7C">
      <w:start w:val="17"/>
      <w:numFmt w:val="decimal"/>
      <w:lvlText w:val="%1."/>
      <w:lvlJc w:val="left"/>
      <w:pPr>
        <w:ind w:left="720" w:hanging="360"/>
      </w:pPr>
      <w:rPr>
        <w:rFonts w:asciiTheme="minorHAnsi" w:hAnsiTheme="minorHAnsi" w:cs="Franklin Gothic Book"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E2290"/>
    <w:multiLevelType w:val="hybridMultilevel"/>
    <w:tmpl w:val="63008D4E"/>
    <w:lvl w:ilvl="0" w:tplc="5470E3FC">
      <w:start w:val="1"/>
      <w:numFmt w:val="bullet"/>
      <w:lvlText w:val=""/>
      <w:lvlPicBulletId w:val="1"/>
      <w:lvlJc w:val="left"/>
      <w:pPr>
        <w:ind w:left="720" w:hanging="360"/>
      </w:pPr>
      <w:rPr>
        <w:rFonts w:ascii="Symbol" w:hAnsi="Symbol" w:hint="default"/>
        <w:b/>
        <w:i w:val="0"/>
        <w:color w:val="523092"/>
      </w:rPr>
    </w:lvl>
    <w:lvl w:ilvl="1" w:tplc="F20C679A">
      <w:start w:val="1"/>
      <w:numFmt w:val="bullet"/>
      <w:lvlText w:val="•"/>
      <w:lvlJc w:val="left"/>
      <w:pPr>
        <w:ind w:left="1440" w:hanging="360"/>
      </w:pPr>
      <w:rPr>
        <w:rFonts w:ascii="Times New Roman" w:hAnsi="Times New Roman" w:cs="Times New Roman" w:hint="default"/>
        <w:b w:val="0"/>
        <w:i w:val="0"/>
        <w:color w:val="FAA21D"/>
        <w:w w:val="135"/>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82022"/>
    <w:multiLevelType w:val="hybridMultilevel"/>
    <w:tmpl w:val="1E40C44A"/>
    <w:lvl w:ilvl="0" w:tplc="E4AADD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0852D8"/>
    <w:multiLevelType w:val="hybridMultilevel"/>
    <w:tmpl w:val="465CA2E8"/>
    <w:lvl w:ilvl="0" w:tplc="113EBE6E">
      <w:start w:val="1"/>
      <w:numFmt w:val="bullet"/>
      <w:lvlText w:val="»"/>
      <w:lvlPicBulletId w:val="1"/>
      <w:lvlJc w:val="left"/>
      <w:pPr>
        <w:ind w:left="720" w:hanging="360"/>
      </w:pPr>
      <w:rPr>
        <w:rFonts w:ascii="Courier New" w:hAnsi="Courier New" w:hint="default"/>
        <w:b/>
        <w:i w:val="0"/>
        <w:color w:val="FAA21D"/>
        <w:w w:val="135"/>
        <w:sz w:val="20"/>
        <w:szCs w:val="20"/>
      </w:rPr>
    </w:lvl>
    <w:lvl w:ilvl="1" w:tplc="F20C679A">
      <w:start w:val="1"/>
      <w:numFmt w:val="bullet"/>
      <w:lvlText w:val="•"/>
      <w:lvlJc w:val="left"/>
      <w:pPr>
        <w:ind w:left="1440" w:hanging="360"/>
      </w:pPr>
      <w:rPr>
        <w:rFonts w:ascii="Times New Roman" w:hAnsi="Times New Roman" w:cs="Times New Roman" w:hint="default"/>
        <w:b w:val="0"/>
        <w:i w:val="0"/>
        <w:color w:val="FAA21D"/>
        <w:w w:val="135"/>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F56A5"/>
    <w:multiLevelType w:val="hybridMultilevel"/>
    <w:tmpl w:val="34AC049E"/>
    <w:lvl w:ilvl="0" w:tplc="993899A8">
      <w:start w:val="1"/>
      <w:numFmt w:val="bullet"/>
      <w:lvlText w:val="»"/>
      <w:lvlJc w:val="left"/>
      <w:pPr>
        <w:ind w:left="720" w:hanging="360"/>
      </w:pPr>
      <w:rPr>
        <w:rFonts w:ascii="Courier New" w:hAnsi="Courier New" w:hint="default"/>
        <w:b/>
        <w:i w:val="0"/>
        <w:color w:val="FAA21D"/>
        <w:w w:val="135"/>
        <w:sz w:val="20"/>
        <w:szCs w:val="20"/>
      </w:rPr>
    </w:lvl>
    <w:lvl w:ilvl="1" w:tplc="F20C679A">
      <w:start w:val="1"/>
      <w:numFmt w:val="bullet"/>
      <w:lvlText w:val="•"/>
      <w:lvlJc w:val="left"/>
      <w:pPr>
        <w:ind w:left="1440" w:hanging="360"/>
      </w:pPr>
      <w:rPr>
        <w:rFonts w:ascii="Times New Roman" w:hAnsi="Times New Roman" w:cs="Times New Roman" w:hint="default"/>
        <w:b w:val="0"/>
        <w:i w:val="0"/>
        <w:color w:val="FAA21D"/>
        <w:w w:val="135"/>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E2947"/>
    <w:multiLevelType w:val="hybridMultilevel"/>
    <w:tmpl w:val="4E2092FC"/>
    <w:lvl w:ilvl="0" w:tplc="628853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57EBF"/>
    <w:multiLevelType w:val="hybridMultilevel"/>
    <w:tmpl w:val="72DA7982"/>
    <w:lvl w:ilvl="0" w:tplc="5470E3FC">
      <w:start w:val="1"/>
      <w:numFmt w:val="bullet"/>
      <w:lvlText w:val=""/>
      <w:lvlPicBulletId w:val="1"/>
      <w:lvlJc w:val="left"/>
      <w:pPr>
        <w:ind w:left="720" w:hanging="360"/>
      </w:pPr>
      <w:rPr>
        <w:rFonts w:ascii="Symbol" w:hAnsi="Symbol" w:hint="default"/>
        <w:b/>
        <w:i w:val="0"/>
        <w:color w:val="523092"/>
      </w:rPr>
    </w:lvl>
    <w:lvl w:ilvl="1" w:tplc="113EBE6E">
      <w:start w:val="1"/>
      <w:numFmt w:val="bullet"/>
      <w:lvlText w:val="»"/>
      <w:lvlJc w:val="left"/>
      <w:pPr>
        <w:ind w:left="1440" w:hanging="360"/>
      </w:pPr>
      <w:rPr>
        <w:rFonts w:ascii="Courier New" w:hAnsi="Courier New" w:hint="default"/>
        <w:b/>
        <w:i w:val="0"/>
        <w:color w:val="FAA21D"/>
        <w:w w:val="135"/>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47539"/>
    <w:multiLevelType w:val="hybridMultilevel"/>
    <w:tmpl w:val="4260AFA4"/>
    <w:lvl w:ilvl="0" w:tplc="1826ABB8">
      <w:start w:val="17"/>
      <w:numFmt w:val="decimal"/>
      <w:lvlText w:val="%1&gt;"/>
      <w:lvlJc w:val="left"/>
      <w:pPr>
        <w:ind w:left="720" w:hanging="360"/>
      </w:pPr>
      <w:rPr>
        <w:rFonts w:asciiTheme="minorHAnsi" w:hAnsiTheme="minorHAnsi" w:cs="Franklin Gothic Book"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374D"/>
    <w:multiLevelType w:val="hybridMultilevel"/>
    <w:tmpl w:val="36EA0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65BE5"/>
    <w:multiLevelType w:val="multilevel"/>
    <w:tmpl w:val="54E8B0E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4"/>
  </w:num>
  <w:num w:numId="3">
    <w:abstractNumId w:val="11"/>
  </w:num>
  <w:num w:numId="4">
    <w:abstractNumId w:val="4"/>
  </w:num>
  <w:num w:numId="5">
    <w:abstractNumId w:val="5"/>
  </w:num>
  <w:num w:numId="6">
    <w:abstractNumId w:val="1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3"/>
    <w:rsid w:val="00001023"/>
    <w:rsid w:val="00001210"/>
    <w:rsid w:val="00020364"/>
    <w:rsid w:val="00046CED"/>
    <w:rsid w:val="00050084"/>
    <w:rsid w:val="000618CD"/>
    <w:rsid w:val="00066B72"/>
    <w:rsid w:val="00074C55"/>
    <w:rsid w:val="00080AF6"/>
    <w:rsid w:val="0009251E"/>
    <w:rsid w:val="00095AAA"/>
    <w:rsid w:val="00095EB3"/>
    <w:rsid w:val="000A2380"/>
    <w:rsid w:val="000A5C79"/>
    <w:rsid w:val="000B2309"/>
    <w:rsid w:val="000B33B8"/>
    <w:rsid w:val="000B4A9B"/>
    <w:rsid w:val="000C634D"/>
    <w:rsid w:val="000D00B9"/>
    <w:rsid w:val="000E40B4"/>
    <w:rsid w:val="00100104"/>
    <w:rsid w:val="001016DF"/>
    <w:rsid w:val="001020DA"/>
    <w:rsid w:val="001071D3"/>
    <w:rsid w:val="0011327D"/>
    <w:rsid w:val="00115242"/>
    <w:rsid w:val="00116723"/>
    <w:rsid w:val="0012022E"/>
    <w:rsid w:val="001247C4"/>
    <w:rsid w:val="00137758"/>
    <w:rsid w:val="001436CE"/>
    <w:rsid w:val="00143C91"/>
    <w:rsid w:val="0014589A"/>
    <w:rsid w:val="00156483"/>
    <w:rsid w:val="00196ED6"/>
    <w:rsid w:val="001D163E"/>
    <w:rsid w:val="001F3C48"/>
    <w:rsid w:val="002014EF"/>
    <w:rsid w:val="002016E6"/>
    <w:rsid w:val="00201B8D"/>
    <w:rsid w:val="0020417F"/>
    <w:rsid w:val="00214768"/>
    <w:rsid w:val="00225B38"/>
    <w:rsid w:val="0022788D"/>
    <w:rsid w:val="002358B6"/>
    <w:rsid w:val="002528F9"/>
    <w:rsid w:val="00261C9E"/>
    <w:rsid w:val="002874A7"/>
    <w:rsid w:val="00292DF1"/>
    <w:rsid w:val="002940B0"/>
    <w:rsid w:val="00295ECF"/>
    <w:rsid w:val="002A2239"/>
    <w:rsid w:val="002B4E08"/>
    <w:rsid w:val="002C46D1"/>
    <w:rsid w:val="002C52B5"/>
    <w:rsid w:val="002D089D"/>
    <w:rsid w:val="002D184F"/>
    <w:rsid w:val="002F047C"/>
    <w:rsid w:val="002F28BD"/>
    <w:rsid w:val="002F2DC6"/>
    <w:rsid w:val="002F3B6A"/>
    <w:rsid w:val="002F4C32"/>
    <w:rsid w:val="002F4CFE"/>
    <w:rsid w:val="00306B42"/>
    <w:rsid w:val="00312152"/>
    <w:rsid w:val="00321A48"/>
    <w:rsid w:val="0032516D"/>
    <w:rsid w:val="00334EB1"/>
    <w:rsid w:val="00335952"/>
    <w:rsid w:val="003369A2"/>
    <w:rsid w:val="00337AE1"/>
    <w:rsid w:val="00344FE3"/>
    <w:rsid w:val="00346C6E"/>
    <w:rsid w:val="003562AE"/>
    <w:rsid w:val="00356DEF"/>
    <w:rsid w:val="00362F78"/>
    <w:rsid w:val="00375A35"/>
    <w:rsid w:val="00381E11"/>
    <w:rsid w:val="00391FB9"/>
    <w:rsid w:val="003B0185"/>
    <w:rsid w:val="003D02EA"/>
    <w:rsid w:val="003E55D9"/>
    <w:rsid w:val="003F14F2"/>
    <w:rsid w:val="003F486C"/>
    <w:rsid w:val="0041171F"/>
    <w:rsid w:val="00420D38"/>
    <w:rsid w:val="00422C6C"/>
    <w:rsid w:val="00432923"/>
    <w:rsid w:val="00442988"/>
    <w:rsid w:val="0044556B"/>
    <w:rsid w:val="00451B14"/>
    <w:rsid w:val="00453758"/>
    <w:rsid w:val="00456146"/>
    <w:rsid w:val="00470513"/>
    <w:rsid w:val="00497E98"/>
    <w:rsid w:val="004A41FB"/>
    <w:rsid w:val="004A751D"/>
    <w:rsid w:val="004B5FD9"/>
    <w:rsid w:val="004C55A7"/>
    <w:rsid w:val="004E0702"/>
    <w:rsid w:val="004E690E"/>
    <w:rsid w:val="004F6231"/>
    <w:rsid w:val="00504972"/>
    <w:rsid w:val="00511D5F"/>
    <w:rsid w:val="00512EA4"/>
    <w:rsid w:val="00536706"/>
    <w:rsid w:val="005509D1"/>
    <w:rsid w:val="00553E9A"/>
    <w:rsid w:val="00557B1E"/>
    <w:rsid w:val="0056131C"/>
    <w:rsid w:val="0057162F"/>
    <w:rsid w:val="00574A2A"/>
    <w:rsid w:val="005752B5"/>
    <w:rsid w:val="005871A0"/>
    <w:rsid w:val="005D38DC"/>
    <w:rsid w:val="005E3D19"/>
    <w:rsid w:val="005E42C3"/>
    <w:rsid w:val="005F0CBC"/>
    <w:rsid w:val="005F4489"/>
    <w:rsid w:val="0060242A"/>
    <w:rsid w:val="00614A7F"/>
    <w:rsid w:val="00616766"/>
    <w:rsid w:val="006401CA"/>
    <w:rsid w:val="00640DF0"/>
    <w:rsid w:val="006416A9"/>
    <w:rsid w:val="0065755A"/>
    <w:rsid w:val="00663A8A"/>
    <w:rsid w:val="00670234"/>
    <w:rsid w:val="00670806"/>
    <w:rsid w:val="00671599"/>
    <w:rsid w:val="00671AE2"/>
    <w:rsid w:val="00680BE3"/>
    <w:rsid w:val="00687C47"/>
    <w:rsid w:val="006A14B8"/>
    <w:rsid w:val="006A442D"/>
    <w:rsid w:val="006A447E"/>
    <w:rsid w:val="006A4879"/>
    <w:rsid w:val="006B6212"/>
    <w:rsid w:val="006C0128"/>
    <w:rsid w:val="006C0D70"/>
    <w:rsid w:val="006C6578"/>
    <w:rsid w:val="006D383A"/>
    <w:rsid w:val="006F39DE"/>
    <w:rsid w:val="00701186"/>
    <w:rsid w:val="0070255E"/>
    <w:rsid w:val="007053A8"/>
    <w:rsid w:val="00707FC9"/>
    <w:rsid w:val="0071004F"/>
    <w:rsid w:val="00724AE5"/>
    <w:rsid w:val="00726E4F"/>
    <w:rsid w:val="00743F5A"/>
    <w:rsid w:val="00753FBD"/>
    <w:rsid w:val="00773190"/>
    <w:rsid w:val="00773ED1"/>
    <w:rsid w:val="007755FF"/>
    <w:rsid w:val="00777E64"/>
    <w:rsid w:val="00783C8C"/>
    <w:rsid w:val="007957A1"/>
    <w:rsid w:val="007A211E"/>
    <w:rsid w:val="007A434A"/>
    <w:rsid w:val="007A48A0"/>
    <w:rsid w:val="007B051F"/>
    <w:rsid w:val="007C0CC0"/>
    <w:rsid w:val="007C4876"/>
    <w:rsid w:val="007C6123"/>
    <w:rsid w:val="007E5825"/>
    <w:rsid w:val="007F258A"/>
    <w:rsid w:val="00802DA2"/>
    <w:rsid w:val="00804051"/>
    <w:rsid w:val="00814E7A"/>
    <w:rsid w:val="008358B1"/>
    <w:rsid w:val="00837EA3"/>
    <w:rsid w:val="00842A0D"/>
    <w:rsid w:val="0084581B"/>
    <w:rsid w:val="008460E1"/>
    <w:rsid w:val="00846244"/>
    <w:rsid w:val="008464CB"/>
    <w:rsid w:val="0087277D"/>
    <w:rsid w:val="00883A51"/>
    <w:rsid w:val="00895707"/>
    <w:rsid w:val="008A0B70"/>
    <w:rsid w:val="008B05CA"/>
    <w:rsid w:val="008B5D54"/>
    <w:rsid w:val="008B7182"/>
    <w:rsid w:val="008C3270"/>
    <w:rsid w:val="008D0D81"/>
    <w:rsid w:val="00900DEA"/>
    <w:rsid w:val="00905C9C"/>
    <w:rsid w:val="00906D83"/>
    <w:rsid w:val="00910E2C"/>
    <w:rsid w:val="00913966"/>
    <w:rsid w:val="00916974"/>
    <w:rsid w:val="00925E31"/>
    <w:rsid w:val="009346B3"/>
    <w:rsid w:val="00936660"/>
    <w:rsid w:val="00951C24"/>
    <w:rsid w:val="00957316"/>
    <w:rsid w:val="00991E09"/>
    <w:rsid w:val="009A19E8"/>
    <w:rsid w:val="009A4285"/>
    <w:rsid w:val="009C1F03"/>
    <w:rsid w:val="009D3718"/>
    <w:rsid w:val="009E0A71"/>
    <w:rsid w:val="009E6A6C"/>
    <w:rsid w:val="009F50B8"/>
    <w:rsid w:val="00A31C44"/>
    <w:rsid w:val="00A414EE"/>
    <w:rsid w:val="00A46AE1"/>
    <w:rsid w:val="00A5215F"/>
    <w:rsid w:val="00A5309B"/>
    <w:rsid w:val="00A54544"/>
    <w:rsid w:val="00A5543D"/>
    <w:rsid w:val="00A632A6"/>
    <w:rsid w:val="00A75A11"/>
    <w:rsid w:val="00A814FF"/>
    <w:rsid w:val="00A83246"/>
    <w:rsid w:val="00A943D8"/>
    <w:rsid w:val="00AA227C"/>
    <w:rsid w:val="00AB5E21"/>
    <w:rsid w:val="00AB7741"/>
    <w:rsid w:val="00AC5B3D"/>
    <w:rsid w:val="00AD3C03"/>
    <w:rsid w:val="00AD3F87"/>
    <w:rsid w:val="00AD5420"/>
    <w:rsid w:val="00AD5C4C"/>
    <w:rsid w:val="00AE4CC4"/>
    <w:rsid w:val="00AF4FD6"/>
    <w:rsid w:val="00B32B9D"/>
    <w:rsid w:val="00B335C1"/>
    <w:rsid w:val="00B36577"/>
    <w:rsid w:val="00B4198E"/>
    <w:rsid w:val="00B55735"/>
    <w:rsid w:val="00B608AC"/>
    <w:rsid w:val="00B65313"/>
    <w:rsid w:val="00B74EC3"/>
    <w:rsid w:val="00B819E0"/>
    <w:rsid w:val="00B83B49"/>
    <w:rsid w:val="00BA0D23"/>
    <w:rsid w:val="00BA1071"/>
    <w:rsid w:val="00BA150C"/>
    <w:rsid w:val="00BA375F"/>
    <w:rsid w:val="00BA5326"/>
    <w:rsid w:val="00BA6492"/>
    <w:rsid w:val="00BB239A"/>
    <w:rsid w:val="00BB72AF"/>
    <w:rsid w:val="00BC2D26"/>
    <w:rsid w:val="00BC5E20"/>
    <w:rsid w:val="00BD152C"/>
    <w:rsid w:val="00BD6593"/>
    <w:rsid w:val="00BE0D62"/>
    <w:rsid w:val="00BE6106"/>
    <w:rsid w:val="00BE7703"/>
    <w:rsid w:val="00BF7241"/>
    <w:rsid w:val="00BF799C"/>
    <w:rsid w:val="00C02D0F"/>
    <w:rsid w:val="00C0540F"/>
    <w:rsid w:val="00C14335"/>
    <w:rsid w:val="00C157D4"/>
    <w:rsid w:val="00C2558B"/>
    <w:rsid w:val="00C702B4"/>
    <w:rsid w:val="00C72225"/>
    <w:rsid w:val="00C75CDB"/>
    <w:rsid w:val="00C80887"/>
    <w:rsid w:val="00C94B7B"/>
    <w:rsid w:val="00CC0DC9"/>
    <w:rsid w:val="00CC7190"/>
    <w:rsid w:val="00CD0EE6"/>
    <w:rsid w:val="00CE49E5"/>
    <w:rsid w:val="00CE5E95"/>
    <w:rsid w:val="00CF3527"/>
    <w:rsid w:val="00CF48A3"/>
    <w:rsid w:val="00D038AC"/>
    <w:rsid w:val="00D04F08"/>
    <w:rsid w:val="00D24119"/>
    <w:rsid w:val="00D26F0A"/>
    <w:rsid w:val="00D72F64"/>
    <w:rsid w:val="00DB3555"/>
    <w:rsid w:val="00DC57CC"/>
    <w:rsid w:val="00DD0ECC"/>
    <w:rsid w:val="00DD34A1"/>
    <w:rsid w:val="00DD3AF9"/>
    <w:rsid w:val="00DE7F15"/>
    <w:rsid w:val="00DF2F2A"/>
    <w:rsid w:val="00E0633D"/>
    <w:rsid w:val="00E213E6"/>
    <w:rsid w:val="00E22331"/>
    <w:rsid w:val="00E25C0D"/>
    <w:rsid w:val="00E3161F"/>
    <w:rsid w:val="00E32B65"/>
    <w:rsid w:val="00E63FBB"/>
    <w:rsid w:val="00E65A82"/>
    <w:rsid w:val="00E74AA7"/>
    <w:rsid w:val="00E76FFC"/>
    <w:rsid w:val="00E86296"/>
    <w:rsid w:val="00E9512B"/>
    <w:rsid w:val="00EA0CB1"/>
    <w:rsid w:val="00EA4613"/>
    <w:rsid w:val="00EA4DDE"/>
    <w:rsid w:val="00EB1003"/>
    <w:rsid w:val="00EC6324"/>
    <w:rsid w:val="00ED0A9B"/>
    <w:rsid w:val="00EE21C2"/>
    <w:rsid w:val="00EE597A"/>
    <w:rsid w:val="00EF2DCC"/>
    <w:rsid w:val="00F075F4"/>
    <w:rsid w:val="00F21B6E"/>
    <w:rsid w:val="00F36791"/>
    <w:rsid w:val="00F40FB4"/>
    <w:rsid w:val="00F46239"/>
    <w:rsid w:val="00F47200"/>
    <w:rsid w:val="00F531FB"/>
    <w:rsid w:val="00F70936"/>
    <w:rsid w:val="00F77E31"/>
    <w:rsid w:val="00F94DB9"/>
    <w:rsid w:val="00FA63DD"/>
    <w:rsid w:val="00FB3F20"/>
    <w:rsid w:val="00FB7136"/>
    <w:rsid w:val="00FC13C1"/>
    <w:rsid w:val="00FD265C"/>
    <w:rsid w:val="00FD7FCF"/>
    <w:rsid w:val="00FE6BAE"/>
    <w:rsid w:val="00FE6E75"/>
    <w:rsid w:val="00FE7CC3"/>
    <w:rsid w:val="00FF2A38"/>
    <w:rsid w:val="00FF2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BE770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BE7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uiPriority w:val="99"/>
    <w:rsid w:val="00201B8D"/>
    <w:pPr>
      <w:spacing w:line="260" w:lineRule="atLeast"/>
    </w:pPr>
    <w:rPr>
      <w:rFonts w:ascii="Franklin Gothic Medium" w:hAnsi="Franklin Gothic Medium" w:cstheme="minorBidi"/>
      <w:color w:val="auto"/>
    </w:rPr>
  </w:style>
  <w:style w:type="character" w:styleId="CommentReference">
    <w:name w:val="annotation reference"/>
    <w:basedOn w:val="DefaultParagraphFont"/>
    <w:uiPriority w:val="99"/>
    <w:semiHidden/>
    <w:unhideWhenUsed/>
    <w:rsid w:val="00201B8D"/>
    <w:rPr>
      <w:sz w:val="16"/>
      <w:szCs w:val="16"/>
    </w:rPr>
  </w:style>
  <w:style w:type="paragraph" w:styleId="CommentText">
    <w:name w:val="annotation text"/>
    <w:basedOn w:val="Normal"/>
    <w:link w:val="CommentTextChar"/>
    <w:uiPriority w:val="99"/>
    <w:semiHidden/>
    <w:unhideWhenUsed/>
    <w:rsid w:val="00201B8D"/>
    <w:pPr>
      <w:spacing w:line="240" w:lineRule="auto"/>
    </w:pPr>
    <w:rPr>
      <w:sz w:val="20"/>
      <w:szCs w:val="20"/>
    </w:rPr>
  </w:style>
  <w:style w:type="character" w:customStyle="1" w:styleId="CommentTextChar">
    <w:name w:val="Comment Text Char"/>
    <w:basedOn w:val="DefaultParagraphFont"/>
    <w:link w:val="CommentText"/>
    <w:uiPriority w:val="99"/>
    <w:semiHidden/>
    <w:rsid w:val="00201B8D"/>
    <w:rPr>
      <w:sz w:val="20"/>
      <w:szCs w:val="20"/>
    </w:rPr>
  </w:style>
  <w:style w:type="paragraph" w:styleId="CommentSubject">
    <w:name w:val="annotation subject"/>
    <w:basedOn w:val="CommentText"/>
    <w:next w:val="CommentText"/>
    <w:link w:val="CommentSubjectChar"/>
    <w:uiPriority w:val="99"/>
    <w:semiHidden/>
    <w:unhideWhenUsed/>
    <w:rsid w:val="00201B8D"/>
    <w:rPr>
      <w:b/>
      <w:bCs/>
    </w:rPr>
  </w:style>
  <w:style w:type="character" w:customStyle="1" w:styleId="CommentSubjectChar">
    <w:name w:val="Comment Subject Char"/>
    <w:basedOn w:val="CommentTextChar"/>
    <w:link w:val="CommentSubject"/>
    <w:uiPriority w:val="99"/>
    <w:semiHidden/>
    <w:rsid w:val="00201B8D"/>
    <w:rPr>
      <w:b/>
      <w:bCs/>
      <w:sz w:val="20"/>
      <w:szCs w:val="20"/>
    </w:rPr>
  </w:style>
  <w:style w:type="paragraph" w:styleId="Revision">
    <w:name w:val="Revision"/>
    <w:hidden/>
    <w:uiPriority w:val="99"/>
    <w:semiHidden/>
    <w:rsid w:val="00201B8D"/>
    <w:pPr>
      <w:spacing w:after="0" w:line="240" w:lineRule="auto"/>
    </w:pPr>
  </w:style>
  <w:style w:type="paragraph" w:styleId="BalloonText">
    <w:name w:val="Balloon Text"/>
    <w:basedOn w:val="Normal"/>
    <w:link w:val="BalloonTextChar"/>
    <w:uiPriority w:val="99"/>
    <w:semiHidden/>
    <w:unhideWhenUsed/>
    <w:rsid w:val="0020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8D"/>
    <w:rPr>
      <w:rFonts w:ascii="Segoe UI" w:hAnsi="Segoe UI" w:cs="Segoe UI"/>
      <w:sz w:val="18"/>
      <w:szCs w:val="18"/>
    </w:rPr>
  </w:style>
  <w:style w:type="paragraph" w:styleId="ListParagraph">
    <w:name w:val="List Paragraph"/>
    <w:basedOn w:val="Normal"/>
    <w:uiPriority w:val="34"/>
    <w:qFormat/>
    <w:rsid w:val="00201B8D"/>
    <w:pPr>
      <w:ind w:left="720"/>
      <w:contextualSpacing/>
    </w:pPr>
  </w:style>
  <w:style w:type="paragraph" w:customStyle="1" w:styleId="Subhead">
    <w:name w:val="Subhead"/>
    <w:basedOn w:val="ListParagraph"/>
    <w:qFormat/>
    <w:rsid w:val="008464CB"/>
    <w:pPr>
      <w:spacing w:after="0" w:line="240" w:lineRule="auto"/>
      <w:ind w:left="0"/>
    </w:pPr>
    <w:rPr>
      <w:b/>
      <w:color w:val="442C79"/>
      <w:sz w:val="24"/>
    </w:rPr>
  </w:style>
  <w:style w:type="paragraph" w:styleId="DocumentMap">
    <w:name w:val="Document Map"/>
    <w:basedOn w:val="Normal"/>
    <w:link w:val="DocumentMapChar"/>
    <w:uiPriority w:val="99"/>
    <w:semiHidden/>
    <w:unhideWhenUsed/>
    <w:rsid w:val="0070118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01186"/>
    <w:rPr>
      <w:rFonts w:ascii="Times New Roman" w:hAnsi="Times New Roman" w:cs="Times New Roman"/>
      <w:sz w:val="24"/>
      <w:szCs w:val="24"/>
    </w:rPr>
  </w:style>
  <w:style w:type="character" w:styleId="Hyperlink">
    <w:name w:val="Hyperlink"/>
    <w:basedOn w:val="DefaultParagraphFont"/>
    <w:uiPriority w:val="99"/>
    <w:unhideWhenUsed/>
    <w:rsid w:val="001016DF"/>
    <w:rPr>
      <w:color w:val="0000FF" w:themeColor="hyperlink"/>
      <w:u w:val="single"/>
    </w:rPr>
  </w:style>
  <w:style w:type="character" w:customStyle="1" w:styleId="citationtext15">
    <w:name w:val="citation_text15"/>
    <w:basedOn w:val="DefaultParagraphFont"/>
    <w:rsid w:val="00CF3527"/>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9200">
      <w:bodyDiv w:val="1"/>
      <w:marLeft w:val="0"/>
      <w:marRight w:val="0"/>
      <w:marTop w:val="0"/>
      <w:marBottom w:val="0"/>
      <w:divBdr>
        <w:top w:val="none" w:sz="0" w:space="0" w:color="auto"/>
        <w:left w:val="none" w:sz="0" w:space="0" w:color="auto"/>
        <w:bottom w:val="none" w:sz="0" w:space="0" w:color="auto"/>
        <w:right w:val="none" w:sz="0" w:space="0" w:color="auto"/>
      </w:divBdr>
    </w:div>
    <w:div w:id="283119545">
      <w:bodyDiv w:val="1"/>
      <w:marLeft w:val="0"/>
      <w:marRight w:val="0"/>
      <w:marTop w:val="0"/>
      <w:marBottom w:val="0"/>
      <w:divBdr>
        <w:top w:val="none" w:sz="0" w:space="0" w:color="auto"/>
        <w:left w:val="none" w:sz="0" w:space="0" w:color="auto"/>
        <w:bottom w:val="none" w:sz="0" w:space="0" w:color="auto"/>
        <w:right w:val="none" w:sz="0" w:space="0" w:color="auto"/>
      </w:divBdr>
      <w:divsChild>
        <w:div w:id="263149695">
          <w:marLeft w:val="0"/>
          <w:marRight w:val="0"/>
          <w:marTop w:val="0"/>
          <w:marBottom w:val="0"/>
          <w:divBdr>
            <w:top w:val="none" w:sz="0" w:space="0" w:color="auto"/>
            <w:left w:val="none" w:sz="0" w:space="0" w:color="auto"/>
            <w:bottom w:val="none" w:sz="0" w:space="0" w:color="auto"/>
            <w:right w:val="none" w:sz="0" w:space="0" w:color="auto"/>
          </w:divBdr>
          <w:divsChild>
            <w:div w:id="93867921">
              <w:marLeft w:val="0"/>
              <w:marRight w:val="0"/>
              <w:marTop w:val="0"/>
              <w:marBottom w:val="0"/>
              <w:divBdr>
                <w:top w:val="none" w:sz="0" w:space="0" w:color="auto"/>
                <w:left w:val="none" w:sz="0" w:space="0" w:color="auto"/>
                <w:bottom w:val="none" w:sz="0" w:space="0" w:color="auto"/>
                <w:right w:val="none" w:sz="0" w:space="0" w:color="auto"/>
              </w:divBdr>
              <w:divsChild>
                <w:div w:id="767697108">
                  <w:marLeft w:val="0"/>
                  <w:marRight w:val="0"/>
                  <w:marTop w:val="0"/>
                  <w:marBottom w:val="0"/>
                  <w:divBdr>
                    <w:top w:val="none" w:sz="0" w:space="0" w:color="auto"/>
                    <w:left w:val="none" w:sz="0" w:space="0" w:color="auto"/>
                    <w:bottom w:val="none" w:sz="0" w:space="0" w:color="auto"/>
                    <w:right w:val="none" w:sz="0" w:space="0" w:color="auto"/>
                  </w:divBdr>
                  <w:divsChild>
                    <w:div w:id="1852603518">
                      <w:marLeft w:val="0"/>
                      <w:marRight w:val="0"/>
                      <w:marTop w:val="0"/>
                      <w:marBottom w:val="0"/>
                      <w:divBdr>
                        <w:top w:val="none" w:sz="0" w:space="0" w:color="auto"/>
                        <w:left w:val="none" w:sz="0" w:space="0" w:color="auto"/>
                        <w:bottom w:val="none" w:sz="0" w:space="0" w:color="auto"/>
                        <w:right w:val="none" w:sz="0" w:space="0" w:color="auto"/>
                      </w:divBdr>
                      <w:divsChild>
                        <w:div w:id="372846898">
                          <w:marLeft w:val="0"/>
                          <w:marRight w:val="0"/>
                          <w:marTop w:val="0"/>
                          <w:marBottom w:val="0"/>
                          <w:divBdr>
                            <w:top w:val="none" w:sz="0" w:space="0" w:color="auto"/>
                            <w:left w:val="none" w:sz="0" w:space="0" w:color="auto"/>
                            <w:bottom w:val="none" w:sz="0" w:space="0" w:color="auto"/>
                            <w:right w:val="none" w:sz="0" w:space="0" w:color="auto"/>
                          </w:divBdr>
                          <w:divsChild>
                            <w:div w:id="173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8461">
      <w:bodyDiv w:val="1"/>
      <w:marLeft w:val="0"/>
      <w:marRight w:val="0"/>
      <w:marTop w:val="0"/>
      <w:marBottom w:val="0"/>
      <w:divBdr>
        <w:top w:val="none" w:sz="0" w:space="0" w:color="auto"/>
        <w:left w:val="none" w:sz="0" w:space="0" w:color="auto"/>
        <w:bottom w:val="none" w:sz="0" w:space="0" w:color="auto"/>
        <w:right w:val="none" w:sz="0" w:space="0" w:color="auto"/>
      </w:divBdr>
    </w:div>
    <w:div w:id="882442594">
      <w:bodyDiv w:val="1"/>
      <w:marLeft w:val="0"/>
      <w:marRight w:val="0"/>
      <w:marTop w:val="0"/>
      <w:marBottom w:val="0"/>
      <w:divBdr>
        <w:top w:val="none" w:sz="0" w:space="0" w:color="auto"/>
        <w:left w:val="none" w:sz="0" w:space="0" w:color="auto"/>
        <w:bottom w:val="none" w:sz="0" w:space="0" w:color="auto"/>
        <w:right w:val="none" w:sz="0" w:space="0" w:color="auto"/>
      </w:divBdr>
    </w:div>
    <w:div w:id="1434789027">
      <w:bodyDiv w:val="1"/>
      <w:marLeft w:val="0"/>
      <w:marRight w:val="0"/>
      <w:marTop w:val="0"/>
      <w:marBottom w:val="0"/>
      <w:divBdr>
        <w:top w:val="none" w:sz="0" w:space="0" w:color="auto"/>
        <w:left w:val="none" w:sz="0" w:space="0" w:color="auto"/>
        <w:bottom w:val="none" w:sz="0" w:space="0" w:color="auto"/>
        <w:right w:val="none" w:sz="0" w:space="0" w:color="auto"/>
      </w:divBdr>
    </w:div>
    <w:div w:id="1564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33FE-C7A1-4BB1-82CA-C79DABCD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2017-10-10T17:30:00Z</dcterms:created>
  <dcterms:modified xsi:type="dcterms:W3CDTF">2017-10-10T17:33:00Z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